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F9" w:rsidRPr="00D1008C" w:rsidRDefault="00EB26F9" w:rsidP="00D1008C">
      <w:pPr>
        <w:jc w:val="center"/>
        <w:rPr>
          <w:b/>
          <w:sz w:val="28"/>
          <w:szCs w:val="28"/>
        </w:rPr>
      </w:pPr>
      <w:r w:rsidRPr="00225149">
        <w:rPr>
          <w:b/>
          <w:noProof/>
          <w:sz w:val="28"/>
          <w:szCs w:val="28"/>
        </w:rPr>
        <w:t>Coast Community College District</w:t>
      </w:r>
    </w:p>
    <w:p w:rsidR="00EB26F9" w:rsidRPr="00D1008C" w:rsidRDefault="00EB26F9" w:rsidP="00D1008C">
      <w:pPr>
        <w:jc w:val="center"/>
        <w:rPr>
          <w:b/>
          <w:sz w:val="24"/>
          <w:szCs w:val="24"/>
        </w:rPr>
      </w:pPr>
      <w:r w:rsidRPr="00D1008C">
        <w:rPr>
          <w:b/>
          <w:sz w:val="24"/>
          <w:szCs w:val="24"/>
        </w:rPr>
        <w:t>Actuarial Study of</w:t>
      </w:r>
    </w:p>
    <w:p w:rsidR="00EB26F9" w:rsidRDefault="00EB26F9" w:rsidP="00D1008C">
      <w:pPr>
        <w:jc w:val="center"/>
        <w:rPr>
          <w:b/>
          <w:sz w:val="24"/>
          <w:szCs w:val="24"/>
        </w:rPr>
      </w:pPr>
      <w:r w:rsidRPr="00D1008C">
        <w:rPr>
          <w:b/>
          <w:sz w:val="24"/>
          <w:szCs w:val="24"/>
        </w:rPr>
        <w:t>Retiree Health Liabilities</w:t>
      </w:r>
    </w:p>
    <w:p w:rsidR="00EB26F9" w:rsidRPr="00D1008C" w:rsidRDefault="00EB26F9" w:rsidP="00D1008C">
      <w:pPr>
        <w:jc w:val="center"/>
        <w:rPr>
          <w:b/>
          <w:sz w:val="24"/>
          <w:szCs w:val="24"/>
        </w:rPr>
      </w:pPr>
      <w:r>
        <w:rPr>
          <w:b/>
          <w:sz w:val="24"/>
          <w:szCs w:val="24"/>
        </w:rPr>
        <w:t xml:space="preserve">As of </w:t>
      </w:r>
      <w:r>
        <w:rPr>
          <w:b/>
          <w:noProof/>
        </w:rPr>
        <w:t xml:space="preserve">May 1, </w:t>
      </w:r>
      <w:r w:rsidRPr="00225149">
        <w:rPr>
          <w:b/>
          <w:noProof/>
        </w:rPr>
        <w:t>2012</w:t>
      </w:r>
    </w:p>
    <w:p w:rsidR="00EB26F9" w:rsidRDefault="00EB26F9">
      <w:pPr>
        <w:tabs>
          <w:tab w:val="left" w:pos="-720"/>
        </w:tabs>
        <w:suppressAutoHyphens/>
        <w:ind w:left="1800" w:right="1800"/>
        <w:rPr>
          <w:b/>
        </w:rPr>
      </w:pPr>
    </w:p>
    <w:p w:rsidR="00EB26F9" w:rsidRPr="00D1008C" w:rsidRDefault="00EB26F9" w:rsidP="00D1008C">
      <w:pPr>
        <w:jc w:val="center"/>
        <w:rPr>
          <w:i/>
        </w:rPr>
      </w:pPr>
      <w:r w:rsidRPr="00D1008C">
        <w:rPr>
          <w:i/>
        </w:rPr>
        <w:t>Prepared by:</w:t>
      </w:r>
    </w:p>
    <w:p w:rsidR="00EB26F9" w:rsidRPr="00D1008C" w:rsidRDefault="00EB26F9" w:rsidP="00D1008C">
      <w:pPr>
        <w:jc w:val="center"/>
        <w:rPr>
          <w:i/>
        </w:rPr>
      </w:pPr>
      <w:r w:rsidRPr="00D1008C">
        <w:rPr>
          <w:i/>
        </w:rPr>
        <w:t>Total Compensation Systems, Inc.</w:t>
      </w:r>
    </w:p>
    <w:p w:rsidR="00EB26F9" w:rsidRDefault="00EB26F9">
      <w:pPr>
        <w:tabs>
          <w:tab w:val="left" w:pos="-720"/>
        </w:tabs>
        <w:suppressAutoHyphens/>
        <w:ind w:left="1800" w:right="1800"/>
        <w:rPr>
          <w:b/>
          <w:i/>
        </w:rPr>
      </w:pPr>
    </w:p>
    <w:p w:rsidR="00EB26F9" w:rsidRDefault="00EB26F9" w:rsidP="00EB26F9">
      <w:pPr>
        <w:tabs>
          <w:tab w:val="center" w:pos="4680"/>
        </w:tabs>
        <w:suppressAutoHyphens/>
        <w:ind w:left="1800" w:right="1800"/>
        <w:jc w:val="center"/>
        <w:rPr>
          <w:b/>
          <w:i/>
        </w:rPr>
        <w:sectPr w:rsidR="00EB26F9" w:rsidSect="0056214C">
          <w:headerReference w:type="default" r:id="rId7"/>
          <w:footerReference w:type="default" r:id="rId8"/>
          <w:headerReference w:type="first" r:id="rId9"/>
          <w:endnotePr>
            <w:numFmt w:val="decimal"/>
          </w:endnotePr>
          <w:pgSz w:w="12240" w:h="15840"/>
          <w:pgMar w:top="3600" w:right="720" w:bottom="1440" w:left="1440" w:header="720" w:footer="1296" w:gutter="0"/>
          <w:pgNumType w:start="1"/>
          <w:cols w:space="720"/>
          <w:noEndnote/>
          <w:titlePg/>
        </w:sectPr>
      </w:pPr>
      <w:r>
        <w:rPr>
          <w:b/>
          <w:i/>
        </w:rPr>
        <w:t>Date: June 15, 2012</w:t>
      </w:r>
    </w:p>
    <w:p w:rsidR="00EB26F9" w:rsidRDefault="00EB26F9">
      <w:pPr>
        <w:jc w:val="center"/>
        <w:rPr>
          <w:b/>
          <w:sz w:val="24"/>
        </w:rPr>
        <w:sectPr w:rsidR="00EB26F9">
          <w:endnotePr>
            <w:numFmt w:val="decimal"/>
          </w:endnotePr>
          <w:pgSz w:w="12240" w:h="15840"/>
          <w:pgMar w:top="1440" w:right="720" w:bottom="1440" w:left="1440" w:header="720" w:footer="1296" w:gutter="0"/>
          <w:cols w:space="720"/>
          <w:noEndnote/>
        </w:sectPr>
      </w:pPr>
      <w:r>
        <w:rPr>
          <w:b/>
          <w:sz w:val="28"/>
        </w:rPr>
        <w:lastRenderedPageBreak/>
        <w:t>Table of Contents</w:t>
      </w:r>
    </w:p>
    <w:p w:rsidR="00EA741B" w:rsidRDefault="007477A3">
      <w:pPr>
        <w:pStyle w:val="TOC1"/>
        <w:tabs>
          <w:tab w:val="right" w:leader="dot" w:pos="10070"/>
        </w:tabs>
        <w:rPr>
          <w:rFonts w:ascii="Calibri" w:hAnsi="Calibri"/>
          <w:b w:val="0"/>
          <w:caps w:val="0"/>
          <w:noProof/>
          <w:snapToGrid/>
          <w:spacing w:val="0"/>
          <w:sz w:val="22"/>
          <w:szCs w:val="22"/>
        </w:rPr>
      </w:pPr>
      <w:r w:rsidRPr="007477A3">
        <w:rPr>
          <w:noProof/>
        </w:rPr>
        <w:lastRenderedPageBreak/>
        <w:fldChar w:fldCharType="begin"/>
      </w:r>
      <w:r w:rsidR="00EB26F9">
        <w:rPr>
          <w:noProof/>
        </w:rPr>
        <w:instrText xml:space="preserve"> TOC \o "1-3" \h \z \u </w:instrText>
      </w:r>
      <w:r w:rsidRPr="007477A3">
        <w:rPr>
          <w:noProof/>
        </w:rPr>
        <w:fldChar w:fldCharType="separate"/>
      </w:r>
      <w:hyperlink w:anchor="_Toc327518668" w:history="1">
        <w:r w:rsidR="00EA741B" w:rsidRPr="00ED3D07">
          <w:rPr>
            <w:rStyle w:val="Hyperlink"/>
            <w:noProof/>
          </w:rPr>
          <w:t>PART I: EXECUTIVE SUMMARY</w:t>
        </w:r>
        <w:r w:rsidR="00EA741B">
          <w:rPr>
            <w:noProof/>
            <w:webHidden/>
          </w:rPr>
          <w:tab/>
        </w:r>
        <w:r>
          <w:rPr>
            <w:noProof/>
            <w:webHidden/>
          </w:rPr>
          <w:fldChar w:fldCharType="begin"/>
        </w:r>
        <w:r w:rsidR="00EA741B">
          <w:rPr>
            <w:noProof/>
            <w:webHidden/>
          </w:rPr>
          <w:instrText xml:space="preserve"> PAGEREF _Toc327518668 \h </w:instrText>
        </w:r>
        <w:r>
          <w:rPr>
            <w:noProof/>
            <w:webHidden/>
          </w:rPr>
        </w:r>
        <w:r>
          <w:rPr>
            <w:noProof/>
            <w:webHidden/>
          </w:rPr>
          <w:fldChar w:fldCharType="separate"/>
        </w:r>
        <w:r w:rsidR="003E6E22">
          <w:rPr>
            <w:noProof/>
            <w:webHidden/>
          </w:rPr>
          <w:t>3</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69" w:history="1">
        <w:r w:rsidR="00EA741B" w:rsidRPr="00ED3D07">
          <w:rPr>
            <w:rStyle w:val="Hyperlink"/>
            <w:noProof/>
          </w:rPr>
          <w:t>A.  Introduction</w:t>
        </w:r>
        <w:r w:rsidR="00EA741B">
          <w:rPr>
            <w:noProof/>
            <w:webHidden/>
          </w:rPr>
          <w:tab/>
        </w:r>
        <w:r>
          <w:rPr>
            <w:noProof/>
            <w:webHidden/>
          </w:rPr>
          <w:fldChar w:fldCharType="begin"/>
        </w:r>
        <w:r w:rsidR="00EA741B">
          <w:rPr>
            <w:noProof/>
            <w:webHidden/>
          </w:rPr>
          <w:instrText xml:space="preserve"> PAGEREF _Toc327518669 \h </w:instrText>
        </w:r>
        <w:r>
          <w:rPr>
            <w:noProof/>
            <w:webHidden/>
          </w:rPr>
        </w:r>
        <w:r>
          <w:rPr>
            <w:noProof/>
            <w:webHidden/>
          </w:rPr>
          <w:fldChar w:fldCharType="separate"/>
        </w:r>
        <w:r w:rsidR="003E6E22">
          <w:rPr>
            <w:noProof/>
            <w:webHidden/>
          </w:rPr>
          <w:t>3</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70" w:history="1">
        <w:r w:rsidR="00EA741B" w:rsidRPr="00ED3D07">
          <w:rPr>
            <w:rStyle w:val="Hyperlink"/>
            <w:noProof/>
          </w:rPr>
          <w:t>B.  General Findings</w:t>
        </w:r>
        <w:r w:rsidR="00EA741B">
          <w:rPr>
            <w:noProof/>
            <w:webHidden/>
          </w:rPr>
          <w:tab/>
        </w:r>
        <w:r>
          <w:rPr>
            <w:noProof/>
            <w:webHidden/>
          </w:rPr>
          <w:fldChar w:fldCharType="begin"/>
        </w:r>
        <w:r w:rsidR="00EA741B">
          <w:rPr>
            <w:noProof/>
            <w:webHidden/>
          </w:rPr>
          <w:instrText xml:space="preserve"> PAGEREF _Toc327518670 \h </w:instrText>
        </w:r>
        <w:r>
          <w:rPr>
            <w:noProof/>
            <w:webHidden/>
          </w:rPr>
        </w:r>
        <w:r>
          <w:rPr>
            <w:noProof/>
            <w:webHidden/>
          </w:rPr>
          <w:fldChar w:fldCharType="separate"/>
        </w:r>
        <w:r w:rsidR="003E6E22">
          <w:rPr>
            <w:noProof/>
            <w:webHidden/>
          </w:rPr>
          <w:t>4</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71" w:history="1">
        <w:r w:rsidR="00EA741B" w:rsidRPr="00ED3D07">
          <w:rPr>
            <w:rStyle w:val="Hyperlink"/>
            <w:noProof/>
          </w:rPr>
          <w:t>C.  Description of Retiree Benefits</w:t>
        </w:r>
        <w:r w:rsidR="00EA741B">
          <w:rPr>
            <w:noProof/>
            <w:webHidden/>
          </w:rPr>
          <w:tab/>
        </w:r>
        <w:r>
          <w:rPr>
            <w:noProof/>
            <w:webHidden/>
          </w:rPr>
          <w:fldChar w:fldCharType="begin"/>
        </w:r>
        <w:r w:rsidR="00EA741B">
          <w:rPr>
            <w:noProof/>
            <w:webHidden/>
          </w:rPr>
          <w:instrText xml:space="preserve"> PAGEREF _Toc327518671 \h </w:instrText>
        </w:r>
        <w:r>
          <w:rPr>
            <w:noProof/>
            <w:webHidden/>
          </w:rPr>
        </w:r>
        <w:r>
          <w:rPr>
            <w:noProof/>
            <w:webHidden/>
          </w:rPr>
          <w:fldChar w:fldCharType="separate"/>
        </w:r>
        <w:r w:rsidR="003E6E22">
          <w:rPr>
            <w:noProof/>
            <w:webHidden/>
          </w:rPr>
          <w:t>4</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72" w:history="1">
        <w:r w:rsidR="00EA741B" w:rsidRPr="00ED3D07">
          <w:rPr>
            <w:rStyle w:val="Hyperlink"/>
            <w:noProof/>
          </w:rPr>
          <w:t>D.  Recommendations</w:t>
        </w:r>
        <w:r w:rsidR="00EA741B">
          <w:rPr>
            <w:noProof/>
            <w:webHidden/>
          </w:rPr>
          <w:tab/>
        </w:r>
        <w:r>
          <w:rPr>
            <w:noProof/>
            <w:webHidden/>
          </w:rPr>
          <w:fldChar w:fldCharType="begin"/>
        </w:r>
        <w:r w:rsidR="00EA741B">
          <w:rPr>
            <w:noProof/>
            <w:webHidden/>
          </w:rPr>
          <w:instrText xml:space="preserve"> PAGEREF _Toc327518672 \h </w:instrText>
        </w:r>
        <w:r>
          <w:rPr>
            <w:noProof/>
            <w:webHidden/>
          </w:rPr>
        </w:r>
        <w:r>
          <w:rPr>
            <w:noProof/>
            <w:webHidden/>
          </w:rPr>
          <w:fldChar w:fldCharType="separate"/>
        </w:r>
        <w:r w:rsidR="003E6E22">
          <w:rPr>
            <w:noProof/>
            <w:webHidden/>
          </w:rPr>
          <w:t>5</w:t>
        </w:r>
        <w:r>
          <w:rPr>
            <w:noProof/>
            <w:webHidden/>
          </w:rPr>
          <w:fldChar w:fldCharType="end"/>
        </w:r>
      </w:hyperlink>
    </w:p>
    <w:p w:rsidR="00EA741B" w:rsidRDefault="007477A3">
      <w:pPr>
        <w:pStyle w:val="TOC1"/>
        <w:tabs>
          <w:tab w:val="right" w:leader="dot" w:pos="10070"/>
        </w:tabs>
        <w:rPr>
          <w:rFonts w:ascii="Calibri" w:hAnsi="Calibri"/>
          <w:b w:val="0"/>
          <w:caps w:val="0"/>
          <w:noProof/>
          <w:snapToGrid/>
          <w:spacing w:val="0"/>
          <w:sz w:val="22"/>
          <w:szCs w:val="22"/>
        </w:rPr>
      </w:pPr>
      <w:hyperlink w:anchor="_Toc327518673" w:history="1">
        <w:r w:rsidR="00EA741B" w:rsidRPr="00ED3D07">
          <w:rPr>
            <w:rStyle w:val="Hyperlink"/>
            <w:noProof/>
          </w:rPr>
          <w:t>PART II:  BACKGROUND</w:t>
        </w:r>
        <w:r w:rsidR="00EA741B">
          <w:rPr>
            <w:noProof/>
            <w:webHidden/>
          </w:rPr>
          <w:tab/>
        </w:r>
        <w:r>
          <w:rPr>
            <w:noProof/>
            <w:webHidden/>
          </w:rPr>
          <w:fldChar w:fldCharType="begin"/>
        </w:r>
        <w:r w:rsidR="00EA741B">
          <w:rPr>
            <w:noProof/>
            <w:webHidden/>
          </w:rPr>
          <w:instrText xml:space="preserve"> PAGEREF _Toc327518673 \h </w:instrText>
        </w:r>
        <w:r>
          <w:rPr>
            <w:noProof/>
            <w:webHidden/>
          </w:rPr>
        </w:r>
        <w:r>
          <w:rPr>
            <w:noProof/>
            <w:webHidden/>
          </w:rPr>
          <w:fldChar w:fldCharType="separate"/>
        </w:r>
        <w:r w:rsidR="003E6E22">
          <w:rPr>
            <w:noProof/>
            <w:webHidden/>
          </w:rPr>
          <w:t>7</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74" w:history="1">
        <w:r w:rsidR="00EA741B" w:rsidRPr="00ED3D07">
          <w:rPr>
            <w:rStyle w:val="Hyperlink"/>
            <w:noProof/>
          </w:rPr>
          <w:t>A.  Summary</w:t>
        </w:r>
        <w:r w:rsidR="00EA741B">
          <w:rPr>
            <w:noProof/>
            <w:webHidden/>
          </w:rPr>
          <w:tab/>
        </w:r>
        <w:r>
          <w:rPr>
            <w:noProof/>
            <w:webHidden/>
          </w:rPr>
          <w:fldChar w:fldCharType="begin"/>
        </w:r>
        <w:r w:rsidR="00EA741B">
          <w:rPr>
            <w:noProof/>
            <w:webHidden/>
          </w:rPr>
          <w:instrText xml:space="preserve"> PAGEREF _Toc327518674 \h </w:instrText>
        </w:r>
        <w:r>
          <w:rPr>
            <w:noProof/>
            <w:webHidden/>
          </w:rPr>
        </w:r>
        <w:r>
          <w:rPr>
            <w:noProof/>
            <w:webHidden/>
          </w:rPr>
          <w:fldChar w:fldCharType="separate"/>
        </w:r>
        <w:r w:rsidR="003E6E22">
          <w:rPr>
            <w:noProof/>
            <w:webHidden/>
          </w:rPr>
          <w:t>7</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75" w:history="1">
        <w:r w:rsidR="00EA741B" w:rsidRPr="00ED3D07">
          <w:rPr>
            <w:rStyle w:val="Hyperlink"/>
            <w:noProof/>
          </w:rPr>
          <w:t>B.  Actuarial Accrual</w:t>
        </w:r>
        <w:r w:rsidR="00EA741B">
          <w:rPr>
            <w:noProof/>
            <w:webHidden/>
          </w:rPr>
          <w:tab/>
        </w:r>
        <w:r>
          <w:rPr>
            <w:noProof/>
            <w:webHidden/>
          </w:rPr>
          <w:fldChar w:fldCharType="begin"/>
        </w:r>
        <w:r w:rsidR="00EA741B">
          <w:rPr>
            <w:noProof/>
            <w:webHidden/>
          </w:rPr>
          <w:instrText xml:space="preserve"> PAGEREF _Toc327518675 \h </w:instrText>
        </w:r>
        <w:r>
          <w:rPr>
            <w:noProof/>
            <w:webHidden/>
          </w:rPr>
        </w:r>
        <w:r>
          <w:rPr>
            <w:noProof/>
            <w:webHidden/>
          </w:rPr>
          <w:fldChar w:fldCharType="separate"/>
        </w:r>
        <w:r w:rsidR="003E6E22">
          <w:rPr>
            <w:noProof/>
            <w:webHidden/>
          </w:rPr>
          <w:t>7</w:t>
        </w:r>
        <w:r>
          <w:rPr>
            <w:noProof/>
            <w:webHidden/>
          </w:rPr>
          <w:fldChar w:fldCharType="end"/>
        </w:r>
      </w:hyperlink>
    </w:p>
    <w:p w:rsidR="00EA741B" w:rsidRDefault="007477A3">
      <w:pPr>
        <w:pStyle w:val="TOC1"/>
        <w:tabs>
          <w:tab w:val="right" w:leader="dot" w:pos="10070"/>
        </w:tabs>
        <w:rPr>
          <w:rFonts w:ascii="Calibri" w:hAnsi="Calibri"/>
          <w:b w:val="0"/>
          <w:caps w:val="0"/>
          <w:noProof/>
          <w:snapToGrid/>
          <w:spacing w:val="0"/>
          <w:sz w:val="22"/>
          <w:szCs w:val="22"/>
        </w:rPr>
      </w:pPr>
      <w:hyperlink w:anchor="_Toc327518676" w:history="1">
        <w:r w:rsidR="00EA741B" w:rsidRPr="00ED3D07">
          <w:rPr>
            <w:rStyle w:val="Hyperlink"/>
            <w:noProof/>
          </w:rPr>
          <w:t>PART III:  LIABILITIES AND COSTS FOR RETIREE BENEFITS</w:t>
        </w:r>
        <w:r w:rsidR="00EA741B">
          <w:rPr>
            <w:noProof/>
            <w:webHidden/>
          </w:rPr>
          <w:tab/>
        </w:r>
        <w:r>
          <w:rPr>
            <w:noProof/>
            <w:webHidden/>
          </w:rPr>
          <w:fldChar w:fldCharType="begin"/>
        </w:r>
        <w:r w:rsidR="00EA741B">
          <w:rPr>
            <w:noProof/>
            <w:webHidden/>
          </w:rPr>
          <w:instrText xml:space="preserve"> PAGEREF _Toc327518676 \h </w:instrText>
        </w:r>
        <w:r>
          <w:rPr>
            <w:noProof/>
            <w:webHidden/>
          </w:rPr>
        </w:r>
        <w:r>
          <w:rPr>
            <w:noProof/>
            <w:webHidden/>
          </w:rPr>
          <w:fldChar w:fldCharType="separate"/>
        </w:r>
        <w:r w:rsidR="003E6E22">
          <w:rPr>
            <w:noProof/>
            <w:webHidden/>
          </w:rPr>
          <w:t>9</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77" w:history="1">
        <w:r w:rsidR="00EA741B" w:rsidRPr="00ED3D07">
          <w:rPr>
            <w:rStyle w:val="Hyperlink"/>
            <w:noProof/>
          </w:rPr>
          <w:t>A.  Introduction.</w:t>
        </w:r>
        <w:r w:rsidR="00EA741B">
          <w:rPr>
            <w:noProof/>
            <w:webHidden/>
          </w:rPr>
          <w:tab/>
        </w:r>
        <w:r>
          <w:rPr>
            <w:noProof/>
            <w:webHidden/>
          </w:rPr>
          <w:fldChar w:fldCharType="begin"/>
        </w:r>
        <w:r w:rsidR="00EA741B">
          <w:rPr>
            <w:noProof/>
            <w:webHidden/>
          </w:rPr>
          <w:instrText xml:space="preserve"> PAGEREF _Toc327518677 \h </w:instrText>
        </w:r>
        <w:r>
          <w:rPr>
            <w:noProof/>
            <w:webHidden/>
          </w:rPr>
        </w:r>
        <w:r>
          <w:rPr>
            <w:noProof/>
            <w:webHidden/>
          </w:rPr>
          <w:fldChar w:fldCharType="separate"/>
        </w:r>
        <w:r w:rsidR="003E6E22">
          <w:rPr>
            <w:noProof/>
            <w:webHidden/>
          </w:rPr>
          <w:t>9</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78" w:history="1">
        <w:r w:rsidR="00EA741B" w:rsidRPr="00ED3D07">
          <w:rPr>
            <w:rStyle w:val="Hyperlink"/>
            <w:noProof/>
          </w:rPr>
          <w:t>B.  Medicare</w:t>
        </w:r>
        <w:r w:rsidR="00EA741B">
          <w:rPr>
            <w:noProof/>
            <w:webHidden/>
          </w:rPr>
          <w:tab/>
        </w:r>
        <w:r>
          <w:rPr>
            <w:noProof/>
            <w:webHidden/>
          </w:rPr>
          <w:fldChar w:fldCharType="begin"/>
        </w:r>
        <w:r w:rsidR="00EA741B">
          <w:rPr>
            <w:noProof/>
            <w:webHidden/>
          </w:rPr>
          <w:instrText xml:space="preserve"> PAGEREF _Toc327518678 \h </w:instrText>
        </w:r>
        <w:r>
          <w:rPr>
            <w:noProof/>
            <w:webHidden/>
          </w:rPr>
        </w:r>
        <w:r>
          <w:rPr>
            <w:noProof/>
            <w:webHidden/>
          </w:rPr>
          <w:fldChar w:fldCharType="separate"/>
        </w:r>
        <w:r w:rsidR="003E6E22">
          <w:rPr>
            <w:noProof/>
            <w:webHidden/>
          </w:rPr>
          <w:t>9</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79" w:history="1">
        <w:r w:rsidR="00EA741B" w:rsidRPr="00ED3D07">
          <w:rPr>
            <w:rStyle w:val="Hyperlink"/>
            <w:noProof/>
          </w:rPr>
          <w:t>C.  Liability for Retiree Benefits.</w:t>
        </w:r>
        <w:r w:rsidR="00EA741B">
          <w:rPr>
            <w:noProof/>
            <w:webHidden/>
          </w:rPr>
          <w:tab/>
        </w:r>
        <w:r>
          <w:rPr>
            <w:noProof/>
            <w:webHidden/>
          </w:rPr>
          <w:fldChar w:fldCharType="begin"/>
        </w:r>
        <w:r w:rsidR="00EA741B">
          <w:rPr>
            <w:noProof/>
            <w:webHidden/>
          </w:rPr>
          <w:instrText xml:space="preserve"> PAGEREF _Toc327518679 \h </w:instrText>
        </w:r>
        <w:r>
          <w:rPr>
            <w:noProof/>
            <w:webHidden/>
          </w:rPr>
        </w:r>
        <w:r>
          <w:rPr>
            <w:noProof/>
            <w:webHidden/>
          </w:rPr>
          <w:fldChar w:fldCharType="separate"/>
        </w:r>
        <w:r w:rsidR="003E6E22">
          <w:rPr>
            <w:noProof/>
            <w:webHidden/>
          </w:rPr>
          <w:t>9</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80" w:history="1">
        <w:r w:rsidR="00EA741B" w:rsidRPr="00ED3D07">
          <w:rPr>
            <w:rStyle w:val="Hyperlink"/>
            <w:noProof/>
          </w:rPr>
          <w:t>D.  Cost to Prefund Retiree Benefits</w:t>
        </w:r>
        <w:r w:rsidR="00EA741B">
          <w:rPr>
            <w:noProof/>
            <w:webHidden/>
          </w:rPr>
          <w:tab/>
        </w:r>
        <w:r>
          <w:rPr>
            <w:noProof/>
            <w:webHidden/>
          </w:rPr>
          <w:fldChar w:fldCharType="begin"/>
        </w:r>
        <w:r w:rsidR="00EA741B">
          <w:rPr>
            <w:noProof/>
            <w:webHidden/>
          </w:rPr>
          <w:instrText xml:space="preserve"> PAGEREF _Toc327518680 \h </w:instrText>
        </w:r>
        <w:r>
          <w:rPr>
            <w:noProof/>
            <w:webHidden/>
          </w:rPr>
        </w:r>
        <w:r>
          <w:rPr>
            <w:noProof/>
            <w:webHidden/>
          </w:rPr>
          <w:fldChar w:fldCharType="separate"/>
        </w:r>
        <w:r w:rsidR="003E6E22">
          <w:rPr>
            <w:noProof/>
            <w:webHidden/>
          </w:rPr>
          <w:t>10</w:t>
        </w:r>
        <w:r>
          <w:rPr>
            <w:noProof/>
            <w:webHidden/>
          </w:rPr>
          <w:fldChar w:fldCharType="end"/>
        </w:r>
      </w:hyperlink>
    </w:p>
    <w:p w:rsidR="00EA741B" w:rsidRDefault="007477A3">
      <w:pPr>
        <w:pStyle w:val="TOC3"/>
        <w:tabs>
          <w:tab w:val="right" w:leader="dot" w:pos="10070"/>
        </w:tabs>
        <w:rPr>
          <w:rFonts w:ascii="Calibri" w:hAnsi="Calibri"/>
          <w:i w:val="0"/>
          <w:noProof/>
          <w:snapToGrid/>
          <w:spacing w:val="0"/>
          <w:sz w:val="22"/>
          <w:szCs w:val="22"/>
        </w:rPr>
      </w:pPr>
      <w:hyperlink w:anchor="_Toc327518681" w:history="1">
        <w:r w:rsidR="00EA741B" w:rsidRPr="00ED3D07">
          <w:rPr>
            <w:rStyle w:val="Hyperlink"/>
            <w:noProof/>
          </w:rPr>
          <w:t>1.  Normal Cost</w:t>
        </w:r>
        <w:r w:rsidR="00EA741B">
          <w:rPr>
            <w:noProof/>
            <w:webHidden/>
          </w:rPr>
          <w:tab/>
        </w:r>
        <w:r>
          <w:rPr>
            <w:noProof/>
            <w:webHidden/>
          </w:rPr>
          <w:fldChar w:fldCharType="begin"/>
        </w:r>
        <w:r w:rsidR="00EA741B">
          <w:rPr>
            <w:noProof/>
            <w:webHidden/>
          </w:rPr>
          <w:instrText xml:space="preserve"> PAGEREF _Toc327518681 \h </w:instrText>
        </w:r>
        <w:r>
          <w:rPr>
            <w:noProof/>
            <w:webHidden/>
          </w:rPr>
        </w:r>
        <w:r>
          <w:rPr>
            <w:noProof/>
            <w:webHidden/>
          </w:rPr>
          <w:fldChar w:fldCharType="separate"/>
        </w:r>
        <w:r w:rsidR="003E6E22">
          <w:rPr>
            <w:noProof/>
            <w:webHidden/>
          </w:rPr>
          <w:t>10</w:t>
        </w:r>
        <w:r>
          <w:rPr>
            <w:noProof/>
            <w:webHidden/>
          </w:rPr>
          <w:fldChar w:fldCharType="end"/>
        </w:r>
      </w:hyperlink>
    </w:p>
    <w:p w:rsidR="00EA741B" w:rsidRDefault="007477A3">
      <w:pPr>
        <w:pStyle w:val="TOC3"/>
        <w:tabs>
          <w:tab w:val="right" w:leader="dot" w:pos="10070"/>
        </w:tabs>
        <w:rPr>
          <w:rFonts w:ascii="Calibri" w:hAnsi="Calibri"/>
          <w:i w:val="0"/>
          <w:noProof/>
          <w:snapToGrid/>
          <w:spacing w:val="0"/>
          <w:sz w:val="22"/>
          <w:szCs w:val="22"/>
        </w:rPr>
      </w:pPr>
      <w:hyperlink w:anchor="_Toc327518682" w:history="1">
        <w:r w:rsidR="00EA741B" w:rsidRPr="00ED3D07">
          <w:rPr>
            <w:rStyle w:val="Hyperlink"/>
            <w:noProof/>
          </w:rPr>
          <w:t>2.  Amortization of Unfunded Actuarial Accrued Liability (UAAL)</w:t>
        </w:r>
        <w:r w:rsidR="00EA741B">
          <w:rPr>
            <w:noProof/>
            <w:webHidden/>
          </w:rPr>
          <w:tab/>
        </w:r>
        <w:r>
          <w:rPr>
            <w:noProof/>
            <w:webHidden/>
          </w:rPr>
          <w:fldChar w:fldCharType="begin"/>
        </w:r>
        <w:r w:rsidR="00EA741B">
          <w:rPr>
            <w:noProof/>
            <w:webHidden/>
          </w:rPr>
          <w:instrText xml:space="preserve"> PAGEREF _Toc327518682 \h </w:instrText>
        </w:r>
        <w:r>
          <w:rPr>
            <w:noProof/>
            <w:webHidden/>
          </w:rPr>
        </w:r>
        <w:r>
          <w:rPr>
            <w:noProof/>
            <w:webHidden/>
          </w:rPr>
          <w:fldChar w:fldCharType="separate"/>
        </w:r>
        <w:r w:rsidR="003E6E22">
          <w:rPr>
            <w:noProof/>
            <w:webHidden/>
          </w:rPr>
          <w:t>11</w:t>
        </w:r>
        <w:r>
          <w:rPr>
            <w:noProof/>
            <w:webHidden/>
          </w:rPr>
          <w:fldChar w:fldCharType="end"/>
        </w:r>
      </w:hyperlink>
    </w:p>
    <w:p w:rsidR="00EA741B" w:rsidRDefault="007477A3">
      <w:pPr>
        <w:pStyle w:val="TOC3"/>
        <w:tabs>
          <w:tab w:val="right" w:leader="dot" w:pos="10070"/>
        </w:tabs>
        <w:rPr>
          <w:rFonts w:ascii="Calibri" w:hAnsi="Calibri"/>
          <w:i w:val="0"/>
          <w:noProof/>
          <w:snapToGrid/>
          <w:spacing w:val="0"/>
          <w:sz w:val="22"/>
          <w:szCs w:val="22"/>
        </w:rPr>
      </w:pPr>
      <w:hyperlink w:anchor="_Toc327518683" w:history="1">
        <w:r w:rsidR="00EA741B" w:rsidRPr="00ED3D07">
          <w:rPr>
            <w:rStyle w:val="Hyperlink"/>
            <w:noProof/>
          </w:rPr>
          <w:t>3.  Annual Required Contributions (ARC)</w:t>
        </w:r>
        <w:r w:rsidR="00EA741B">
          <w:rPr>
            <w:noProof/>
            <w:webHidden/>
          </w:rPr>
          <w:tab/>
        </w:r>
        <w:r>
          <w:rPr>
            <w:noProof/>
            <w:webHidden/>
          </w:rPr>
          <w:fldChar w:fldCharType="begin"/>
        </w:r>
        <w:r w:rsidR="00EA741B">
          <w:rPr>
            <w:noProof/>
            <w:webHidden/>
          </w:rPr>
          <w:instrText xml:space="preserve"> PAGEREF _Toc327518683 \h </w:instrText>
        </w:r>
        <w:r>
          <w:rPr>
            <w:noProof/>
            <w:webHidden/>
          </w:rPr>
        </w:r>
        <w:r>
          <w:rPr>
            <w:noProof/>
            <w:webHidden/>
          </w:rPr>
          <w:fldChar w:fldCharType="separate"/>
        </w:r>
        <w:r w:rsidR="003E6E22">
          <w:rPr>
            <w:noProof/>
            <w:webHidden/>
          </w:rPr>
          <w:t>11</w:t>
        </w:r>
        <w:r>
          <w:rPr>
            <w:noProof/>
            <w:webHidden/>
          </w:rPr>
          <w:fldChar w:fldCharType="end"/>
        </w:r>
      </w:hyperlink>
    </w:p>
    <w:p w:rsidR="00EA741B" w:rsidRDefault="007477A3">
      <w:pPr>
        <w:pStyle w:val="TOC3"/>
        <w:tabs>
          <w:tab w:val="right" w:leader="dot" w:pos="10070"/>
        </w:tabs>
        <w:rPr>
          <w:rFonts w:ascii="Calibri" w:hAnsi="Calibri"/>
          <w:i w:val="0"/>
          <w:noProof/>
          <w:snapToGrid/>
          <w:spacing w:val="0"/>
          <w:sz w:val="22"/>
          <w:szCs w:val="22"/>
        </w:rPr>
      </w:pPr>
      <w:hyperlink w:anchor="_Toc327518684" w:history="1">
        <w:r w:rsidR="00EA741B" w:rsidRPr="00ED3D07">
          <w:rPr>
            <w:rStyle w:val="Hyperlink"/>
            <w:noProof/>
          </w:rPr>
          <w:t>4.  Other Components of Annual OPEB Cost (AOC)</w:t>
        </w:r>
        <w:r w:rsidR="00EA741B">
          <w:rPr>
            <w:noProof/>
            <w:webHidden/>
          </w:rPr>
          <w:tab/>
        </w:r>
        <w:r>
          <w:rPr>
            <w:noProof/>
            <w:webHidden/>
          </w:rPr>
          <w:fldChar w:fldCharType="begin"/>
        </w:r>
        <w:r w:rsidR="00EA741B">
          <w:rPr>
            <w:noProof/>
            <w:webHidden/>
          </w:rPr>
          <w:instrText xml:space="preserve"> PAGEREF _Toc327518684 \h </w:instrText>
        </w:r>
        <w:r>
          <w:rPr>
            <w:noProof/>
            <w:webHidden/>
          </w:rPr>
        </w:r>
        <w:r>
          <w:rPr>
            <w:noProof/>
            <w:webHidden/>
          </w:rPr>
          <w:fldChar w:fldCharType="separate"/>
        </w:r>
        <w:r w:rsidR="003E6E22">
          <w:rPr>
            <w:noProof/>
            <w:webHidden/>
          </w:rPr>
          <w:t>12</w:t>
        </w:r>
        <w:r>
          <w:rPr>
            <w:noProof/>
            <w:webHidden/>
          </w:rPr>
          <w:fldChar w:fldCharType="end"/>
        </w:r>
      </w:hyperlink>
    </w:p>
    <w:p w:rsidR="00EA741B" w:rsidRDefault="007477A3">
      <w:pPr>
        <w:pStyle w:val="TOC1"/>
        <w:tabs>
          <w:tab w:val="right" w:leader="dot" w:pos="10070"/>
        </w:tabs>
        <w:rPr>
          <w:rFonts w:ascii="Calibri" w:hAnsi="Calibri"/>
          <w:b w:val="0"/>
          <w:caps w:val="0"/>
          <w:noProof/>
          <w:snapToGrid/>
          <w:spacing w:val="0"/>
          <w:sz w:val="22"/>
          <w:szCs w:val="22"/>
        </w:rPr>
      </w:pPr>
      <w:hyperlink w:anchor="_Toc327518685" w:history="1">
        <w:r w:rsidR="00EA741B" w:rsidRPr="00ED3D07">
          <w:rPr>
            <w:rStyle w:val="Hyperlink"/>
            <w:noProof/>
          </w:rPr>
          <w:t>PART IV: "PAY AS YOU GO" FUNDING OF RETIREE BENEFITS</w:t>
        </w:r>
        <w:r w:rsidR="00EA741B">
          <w:rPr>
            <w:noProof/>
            <w:webHidden/>
          </w:rPr>
          <w:tab/>
        </w:r>
        <w:r>
          <w:rPr>
            <w:noProof/>
            <w:webHidden/>
          </w:rPr>
          <w:fldChar w:fldCharType="begin"/>
        </w:r>
        <w:r w:rsidR="00EA741B">
          <w:rPr>
            <w:noProof/>
            <w:webHidden/>
          </w:rPr>
          <w:instrText xml:space="preserve"> PAGEREF _Toc327518685 \h </w:instrText>
        </w:r>
        <w:r>
          <w:rPr>
            <w:noProof/>
            <w:webHidden/>
          </w:rPr>
        </w:r>
        <w:r>
          <w:rPr>
            <w:noProof/>
            <w:webHidden/>
          </w:rPr>
          <w:fldChar w:fldCharType="separate"/>
        </w:r>
        <w:r w:rsidR="003E6E22">
          <w:rPr>
            <w:noProof/>
            <w:webHidden/>
          </w:rPr>
          <w:t>13</w:t>
        </w:r>
        <w:r>
          <w:rPr>
            <w:noProof/>
            <w:webHidden/>
          </w:rPr>
          <w:fldChar w:fldCharType="end"/>
        </w:r>
      </w:hyperlink>
    </w:p>
    <w:p w:rsidR="00EA741B" w:rsidRDefault="007477A3">
      <w:pPr>
        <w:pStyle w:val="TOC1"/>
        <w:tabs>
          <w:tab w:val="right" w:leader="dot" w:pos="10070"/>
        </w:tabs>
        <w:rPr>
          <w:rFonts w:ascii="Calibri" w:hAnsi="Calibri"/>
          <w:b w:val="0"/>
          <w:caps w:val="0"/>
          <w:noProof/>
          <w:snapToGrid/>
          <w:spacing w:val="0"/>
          <w:sz w:val="22"/>
          <w:szCs w:val="22"/>
        </w:rPr>
      </w:pPr>
      <w:hyperlink w:anchor="_Toc327518686" w:history="1">
        <w:r w:rsidR="00EA741B" w:rsidRPr="00ED3D07">
          <w:rPr>
            <w:rStyle w:val="Hyperlink"/>
            <w:noProof/>
          </w:rPr>
          <w:t>PART V:  RECOMMENDATIONS FOR FUTURE VALUATIONS</w:t>
        </w:r>
        <w:r w:rsidR="00EA741B">
          <w:rPr>
            <w:noProof/>
            <w:webHidden/>
          </w:rPr>
          <w:tab/>
        </w:r>
        <w:r>
          <w:rPr>
            <w:noProof/>
            <w:webHidden/>
          </w:rPr>
          <w:fldChar w:fldCharType="begin"/>
        </w:r>
        <w:r w:rsidR="00EA741B">
          <w:rPr>
            <w:noProof/>
            <w:webHidden/>
          </w:rPr>
          <w:instrText xml:space="preserve"> PAGEREF _Toc327518686 \h </w:instrText>
        </w:r>
        <w:r>
          <w:rPr>
            <w:noProof/>
            <w:webHidden/>
          </w:rPr>
        </w:r>
        <w:r>
          <w:rPr>
            <w:noProof/>
            <w:webHidden/>
          </w:rPr>
          <w:fldChar w:fldCharType="separate"/>
        </w:r>
        <w:r w:rsidR="003E6E22">
          <w:rPr>
            <w:noProof/>
            <w:webHidden/>
          </w:rPr>
          <w:t>14</w:t>
        </w:r>
        <w:r>
          <w:rPr>
            <w:noProof/>
            <w:webHidden/>
          </w:rPr>
          <w:fldChar w:fldCharType="end"/>
        </w:r>
      </w:hyperlink>
    </w:p>
    <w:p w:rsidR="00EA741B" w:rsidRDefault="007477A3">
      <w:pPr>
        <w:pStyle w:val="TOC1"/>
        <w:tabs>
          <w:tab w:val="right" w:leader="dot" w:pos="10070"/>
        </w:tabs>
        <w:rPr>
          <w:rFonts w:ascii="Calibri" w:hAnsi="Calibri"/>
          <w:b w:val="0"/>
          <w:caps w:val="0"/>
          <w:noProof/>
          <w:snapToGrid/>
          <w:spacing w:val="0"/>
          <w:sz w:val="22"/>
          <w:szCs w:val="22"/>
        </w:rPr>
      </w:pPr>
      <w:hyperlink w:anchor="_Toc327518687" w:history="1">
        <w:r w:rsidR="00EA741B" w:rsidRPr="00ED3D07">
          <w:rPr>
            <w:rStyle w:val="Hyperlink"/>
            <w:noProof/>
          </w:rPr>
          <w:t>PART VI:  APPENDICES</w:t>
        </w:r>
        <w:r w:rsidR="00EA741B">
          <w:rPr>
            <w:noProof/>
            <w:webHidden/>
          </w:rPr>
          <w:tab/>
        </w:r>
        <w:r>
          <w:rPr>
            <w:noProof/>
            <w:webHidden/>
          </w:rPr>
          <w:fldChar w:fldCharType="begin"/>
        </w:r>
        <w:r w:rsidR="00EA741B">
          <w:rPr>
            <w:noProof/>
            <w:webHidden/>
          </w:rPr>
          <w:instrText xml:space="preserve"> PAGEREF _Toc327518687 \h </w:instrText>
        </w:r>
        <w:r>
          <w:rPr>
            <w:noProof/>
            <w:webHidden/>
          </w:rPr>
        </w:r>
        <w:r>
          <w:rPr>
            <w:noProof/>
            <w:webHidden/>
          </w:rPr>
          <w:fldChar w:fldCharType="separate"/>
        </w:r>
        <w:r w:rsidR="003E6E22">
          <w:rPr>
            <w:noProof/>
            <w:webHidden/>
          </w:rPr>
          <w:t>15</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88" w:history="1">
        <w:r w:rsidR="00EA741B" w:rsidRPr="00ED3D07">
          <w:rPr>
            <w:rStyle w:val="Hyperlink"/>
            <w:noProof/>
          </w:rPr>
          <w:t>APPENDIX A:  MATERIALS USED FOR THIS STUDY</w:t>
        </w:r>
        <w:r w:rsidR="00EA741B">
          <w:rPr>
            <w:noProof/>
            <w:webHidden/>
          </w:rPr>
          <w:tab/>
        </w:r>
        <w:r>
          <w:rPr>
            <w:noProof/>
            <w:webHidden/>
          </w:rPr>
          <w:fldChar w:fldCharType="begin"/>
        </w:r>
        <w:r w:rsidR="00EA741B">
          <w:rPr>
            <w:noProof/>
            <w:webHidden/>
          </w:rPr>
          <w:instrText xml:space="preserve"> PAGEREF _Toc327518688 \h </w:instrText>
        </w:r>
        <w:r>
          <w:rPr>
            <w:noProof/>
            <w:webHidden/>
          </w:rPr>
        </w:r>
        <w:r>
          <w:rPr>
            <w:noProof/>
            <w:webHidden/>
          </w:rPr>
          <w:fldChar w:fldCharType="separate"/>
        </w:r>
        <w:r w:rsidR="003E6E22">
          <w:rPr>
            <w:noProof/>
            <w:webHidden/>
          </w:rPr>
          <w:t>15</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89" w:history="1">
        <w:r w:rsidR="00EA741B" w:rsidRPr="00ED3D07">
          <w:rPr>
            <w:rStyle w:val="Hyperlink"/>
            <w:noProof/>
          </w:rPr>
          <w:t>APPENDIX B:  EFFECT OF ASSUMPTIONS USED IN CALCULATIONS</w:t>
        </w:r>
        <w:r w:rsidR="00EA741B">
          <w:rPr>
            <w:noProof/>
            <w:webHidden/>
          </w:rPr>
          <w:tab/>
        </w:r>
        <w:r>
          <w:rPr>
            <w:noProof/>
            <w:webHidden/>
          </w:rPr>
          <w:fldChar w:fldCharType="begin"/>
        </w:r>
        <w:r w:rsidR="00EA741B">
          <w:rPr>
            <w:noProof/>
            <w:webHidden/>
          </w:rPr>
          <w:instrText xml:space="preserve"> PAGEREF _Toc327518689 \h </w:instrText>
        </w:r>
        <w:r>
          <w:rPr>
            <w:noProof/>
            <w:webHidden/>
          </w:rPr>
        </w:r>
        <w:r>
          <w:rPr>
            <w:noProof/>
            <w:webHidden/>
          </w:rPr>
          <w:fldChar w:fldCharType="separate"/>
        </w:r>
        <w:r w:rsidR="003E6E22">
          <w:rPr>
            <w:noProof/>
            <w:webHidden/>
          </w:rPr>
          <w:t>16</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90" w:history="1">
        <w:r w:rsidR="00EA741B" w:rsidRPr="00ED3D07">
          <w:rPr>
            <w:rStyle w:val="Hyperlink"/>
            <w:noProof/>
          </w:rPr>
          <w:t>APPENDIX C:  ACTUARIAL ASSUMPTIONS AND METHODS</w:t>
        </w:r>
        <w:r w:rsidR="00EA741B">
          <w:rPr>
            <w:noProof/>
            <w:webHidden/>
          </w:rPr>
          <w:tab/>
        </w:r>
        <w:r>
          <w:rPr>
            <w:noProof/>
            <w:webHidden/>
          </w:rPr>
          <w:fldChar w:fldCharType="begin"/>
        </w:r>
        <w:r w:rsidR="00EA741B">
          <w:rPr>
            <w:noProof/>
            <w:webHidden/>
          </w:rPr>
          <w:instrText xml:space="preserve"> PAGEREF _Toc327518690 \h </w:instrText>
        </w:r>
        <w:r>
          <w:rPr>
            <w:noProof/>
            <w:webHidden/>
          </w:rPr>
        </w:r>
        <w:r>
          <w:rPr>
            <w:noProof/>
            <w:webHidden/>
          </w:rPr>
          <w:fldChar w:fldCharType="separate"/>
        </w:r>
        <w:r w:rsidR="003E6E22">
          <w:rPr>
            <w:noProof/>
            <w:webHidden/>
          </w:rPr>
          <w:t>17</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91" w:history="1">
        <w:r w:rsidR="00EA741B" w:rsidRPr="00ED3D07">
          <w:rPr>
            <w:rStyle w:val="Hyperlink"/>
            <w:noProof/>
          </w:rPr>
          <w:t>APPENDIX D:  DISTRIBUTION OF ELIGIBLE PARTICIPANTS BY AGE</w:t>
        </w:r>
        <w:r w:rsidR="00EA741B">
          <w:rPr>
            <w:noProof/>
            <w:webHidden/>
          </w:rPr>
          <w:tab/>
        </w:r>
        <w:r>
          <w:rPr>
            <w:noProof/>
            <w:webHidden/>
          </w:rPr>
          <w:fldChar w:fldCharType="begin"/>
        </w:r>
        <w:r w:rsidR="00EA741B">
          <w:rPr>
            <w:noProof/>
            <w:webHidden/>
          </w:rPr>
          <w:instrText xml:space="preserve"> PAGEREF _Toc327518691 \h </w:instrText>
        </w:r>
        <w:r>
          <w:rPr>
            <w:noProof/>
            <w:webHidden/>
          </w:rPr>
        </w:r>
        <w:r>
          <w:rPr>
            <w:noProof/>
            <w:webHidden/>
          </w:rPr>
          <w:fldChar w:fldCharType="separate"/>
        </w:r>
        <w:r w:rsidR="003E6E22">
          <w:rPr>
            <w:noProof/>
            <w:webHidden/>
          </w:rPr>
          <w:t>20</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92" w:history="1">
        <w:r w:rsidR="00EA741B" w:rsidRPr="00ED3D07">
          <w:rPr>
            <w:rStyle w:val="Hyperlink"/>
            <w:noProof/>
          </w:rPr>
          <w:t>APPENDIX E:  CALCULATION OF GASB 43/45 ACCOUNTING ENTRIES</w:t>
        </w:r>
        <w:r w:rsidR="00EA741B">
          <w:rPr>
            <w:noProof/>
            <w:webHidden/>
          </w:rPr>
          <w:tab/>
        </w:r>
        <w:r>
          <w:rPr>
            <w:noProof/>
            <w:webHidden/>
          </w:rPr>
          <w:fldChar w:fldCharType="begin"/>
        </w:r>
        <w:r w:rsidR="00EA741B">
          <w:rPr>
            <w:noProof/>
            <w:webHidden/>
          </w:rPr>
          <w:instrText xml:space="preserve"> PAGEREF _Toc327518692 \h </w:instrText>
        </w:r>
        <w:r>
          <w:rPr>
            <w:noProof/>
            <w:webHidden/>
          </w:rPr>
        </w:r>
        <w:r>
          <w:rPr>
            <w:noProof/>
            <w:webHidden/>
          </w:rPr>
          <w:fldChar w:fldCharType="separate"/>
        </w:r>
        <w:r w:rsidR="003E6E22">
          <w:rPr>
            <w:noProof/>
            <w:webHidden/>
          </w:rPr>
          <w:t>21</w:t>
        </w:r>
        <w:r>
          <w:rPr>
            <w:noProof/>
            <w:webHidden/>
          </w:rPr>
          <w:fldChar w:fldCharType="end"/>
        </w:r>
      </w:hyperlink>
    </w:p>
    <w:p w:rsidR="00EA741B" w:rsidRDefault="007477A3">
      <w:pPr>
        <w:pStyle w:val="TOC2"/>
        <w:tabs>
          <w:tab w:val="right" w:leader="dot" w:pos="10070"/>
        </w:tabs>
        <w:rPr>
          <w:rFonts w:ascii="Calibri" w:hAnsi="Calibri"/>
          <w:smallCaps w:val="0"/>
          <w:noProof/>
          <w:snapToGrid/>
          <w:spacing w:val="0"/>
          <w:sz w:val="22"/>
          <w:szCs w:val="22"/>
        </w:rPr>
      </w:pPr>
      <w:hyperlink w:anchor="_Toc327518693" w:history="1">
        <w:r w:rsidR="00EA741B" w:rsidRPr="00ED3D07">
          <w:rPr>
            <w:rStyle w:val="Hyperlink"/>
            <w:noProof/>
          </w:rPr>
          <w:t>APPENDIX F:  GLOSSARY OF RETIREE HEALTH VALUATION TERMS</w:t>
        </w:r>
        <w:r w:rsidR="00EA741B">
          <w:rPr>
            <w:noProof/>
            <w:webHidden/>
          </w:rPr>
          <w:tab/>
        </w:r>
        <w:r>
          <w:rPr>
            <w:noProof/>
            <w:webHidden/>
          </w:rPr>
          <w:fldChar w:fldCharType="begin"/>
        </w:r>
        <w:r w:rsidR="00EA741B">
          <w:rPr>
            <w:noProof/>
            <w:webHidden/>
          </w:rPr>
          <w:instrText xml:space="preserve"> PAGEREF _Toc327518693 \h </w:instrText>
        </w:r>
        <w:r>
          <w:rPr>
            <w:noProof/>
            <w:webHidden/>
          </w:rPr>
        </w:r>
        <w:r>
          <w:rPr>
            <w:noProof/>
            <w:webHidden/>
          </w:rPr>
          <w:fldChar w:fldCharType="separate"/>
        </w:r>
        <w:r w:rsidR="003E6E22">
          <w:rPr>
            <w:noProof/>
            <w:webHidden/>
          </w:rPr>
          <w:t>23</w:t>
        </w:r>
        <w:r>
          <w:rPr>
            <w:noProof/>
            <w:webHidden/>
          </w:rPr>
          <w:fldChar w:fldCharType="end"/>
        </w:r>
      </w:hyperlink>
    </w:p>
    <w:p w:rsidR="00EB26F9" w:rsidRDefault="007477A3">
      <w:pPr>
        <w:sectPr w:rsidR="00EB26F9">
          <w:endnotePr>
            <w:numFmt w:val="decimal"/>
          </w:endnotePr>
          <w:type w:val="continuous"/>
          <w:pgSz w:w="12240" w:h="15840"/>
          <w:pgMar w:top="1440" w:right="720" w:bottom="1440" w:left="1440" w:header="1440" w:footer="1296" w:gutter="0"/>
          <w:cols w:space="720"/>
          <w:noEndnote/>
        </w:sectPr>
      </w:pPr>
      <w:r>
        <w:rPr>
          <w:noProof/>
        </w:rPr>
        <w:fldChar w:fldCharType="end"/>
      </w:r>
    </w:p>
    <w:p w:rsidR="00EB26F9" w:rsidRPr="00833F91" w:rsidRDefault="00EB26F9" w:rsidP="004908AF">
      <w:pPr>
        <w:jc w:val="center"/>
        <w:rPr>
          <w:b/>
          <w:sz w:val="32"/>
          <w:szCs w:val="32"/>
        </w:rPr>
      </w:pPr>
      <w:r w:rsidRPr="00225149">
        <w:rPr>
          <w:b/>
          <w:noProof/>
          <w:sz w:val="32"/>
          <w:szCs w:val="32"/>
        </w:rPr>
        <w:lastRenderedPageBreak/>
        <w:t>Coast Community College District</w:t>
      </w:r>
    </w:p>
    <w:p w:rsidR="00EB26F9" w:rsidRPr="00D1008C" w:rsidRDefault="00EB26F9" w:rsidP="00D1008C">
      <w:pPr>
        <w:jc w:val="center"/>
        <w:rPr>
          <w:b/>
          <w:sz w:val="24"/>
          <w:szCs w:val="24"/>
        </w:rPr>
      </w:pPr>
      <w:r w:rsidRPr="00D1008C">
        <w:rPr>
          <w:b/>
          <w:sz w:val="24"/>
          <w:szCs w:val="24"/>
        </w:rPr>
        <w:t>Actuarial Study of Retiree Health Liabilities</w:t>
      </w:r>
    </w:p>
    <w:p w:rsidR="00EB26F9" w:rsidRDefault="00EB26F9">
      <w:pPr>
        <w:pStyle w:val="Heading1"/>
        <w:rPr>
          <w:rFonts w:ascii="Times New Roman" w:hAnsi="Times New Roman"/>
          <w:sz w:val="22"/>
        </w:rPr>
      </w:pPr>
      <w:bookmarkStart w:id="0" w:name="_Toc327518668"/>
      <w:r>
        <w:rPr>
          <w:rFonts w:ascii="Times New Roman" w:hAnsi="Times New Roman"/>
          <w:sz w:val="22"/>
        </w:rPr>
        <w:t>PART I: EXECUTIVE SUMMARY</w:t>
      </w:r>
      <w:bookmarkEnd w:id="0"/>
    </w:p>
    <w:p w:rsidR="00EB26F9" w:rsidRDefault="00EB26F9">
      <w:pPr>
        <w:pStyle w:val="Heading2"/>
        <w:rPr>
          <w:rFonts w:ascii="Times New Roman" w:hAnsi="Times New Roman"/>
          <w:i w:val="0"/>
          <w:sz w:val="22"/>
          <w:u w:val="single"/>
        </w:rPr>
      </w:pPr>
      <w:bookmarkStart w:id="1" w:name="_Toc327518669"/>
      <w:r>
        <w:rPr>
          <w:rFonts w:ascii="Times New Roman" w:hAnsi="Times New Roman"/>
          <w:i w:val="0"/>
          <w:sz w:val="22"/>
          <w:u w:val="single"/>
        </w:rPr>
        <w:t>A.  Introduction</w:t>
      </w:r>
      <w:bookmarkEnd w:id="1"/>
    </w:p>
    <w:p w:rsidR="00EB26F9" w:rsidRDefault="00EB26F9">
      <w:pPr>
        <w:tabs>
          <w:tab w:val="left" w:pos="-720"/>
        </w:tabs>
        <w:suppressAutoHyphens/>
        <w:jc w:val="both"/>
      </w:pPr>
    </w:p>
    <w:p w:rsidR="00EB26F9" w:rsidRDefault="00EB26F9">
      <w:pPr>
        <w:tabs>
          <w:tab w:val="left" w:pos="-720"/>
        </w:tabs>
        <w:suppressAutoHyphens/>
      </w:pPr>
      <w:r>
        <w:tab/>
      </w:r>
      <w:r>
        <w:rPr>
          <w:noProof/>
        </w:rPr>
        <w:t>Coast Community College District</w:t>
      </w:r>
      <w:r>
        <w:t xml:space="preserve"> engaged Total Compensation Systems, Inc. (TCS) to analyze liabilities associated with its current retiree health program as of </w:t>
      </w:r>
      <w:r>
        <w:rPr>
          <w:noProof/>
        </w:rPr>
        <w:t>May 1, 2012 (the valuation date)</w:t>
      </w:r>
      <w:r>
        <w:t xml:space="preserve">. The numbers in this report are based on the assumption that they will first be used to determine accounting entries for the fiscal year ending </w:t>
      </w:r>
      <w:r w:rsidR="00437F4F">
        <w:t>June 30, 2012</w:t>
      </w:r>
      <w:r>
        <w:t>. If the report will first be used for a different fiscal year, the numbers will need to be adjusted accordingly.</w:t>
      </w:r>
    </w:p>
    <w:p w:rsidR="00EB26F9" w:rsidRDefault="00EB26F9">
      <w:pPr>
        <w:tabs>
          <w:tab w:val="left" w:pos="-720"/>
        </w:tabs>
        <w:suppressAutoHyphens/>
      </w:pPr>
    </w:p>
    <w:p w:rsidR="00EB26F9" w:rsidRDefault="00EB26F9">
      <w:pPr>
        <w:tabs>
          <w:tab w:val="left" w:pos="-720"/>
        </w:tabs>
        <w:suppressAutoHyphens/>
      </w:pPr>
      <w:r>
        <w:tab/>
        <w:t>This report does not reflect any cash benefits paid unless the retiree is required to provide proof that the cash benefits are used to reimburse the retiree’s cost of health benefits. Costs and liabilities attributable to cash benefits paid to retirees are reportable under Governmental Accounting Standards Board (GASB) Standards 25</w:t>
      </w:r>
      <w:r w:rsidR="00437F4F">
        <w:t>/</w:t>
      </w:r>
      <w:r>
        <w:t>27.</w:t>
      </w:r>
    </w:p>
    <w:p w:rsidR="00EB26F9" w:rsidRDefault="00EB26F9">
      <w:pPr>
        <w:tabs>
          <w:tab w:val="left" w:pos="-720"/>
        </w:tabs>
        <w:suppressAutoHyphens/>
      </w:pPr>
    </w:p>
    <w:p w:rsidR="00EB26F9" w:rsidRDefault="00EB26F9">
      <w:pPr>
        <w:tabs>
          <w:tab w:val="left" w:pos="-720"/>
        </w:tabs>
        <w:suppressAutoHyphens/>
      </w:pPr>
      <w:r>
        <w:tab/>
        <w:t>This actuarial study is intended to serve the following purposes:</w:t>
      </w:r>
    </w:p>
    <w:p w:rsidR="00EB26F9" w:rsidRDefault="00EB26F9">
      <w:pPr>
        <w:tabs>
          <w:tab w:val="left" w:pos="-720"/>
        </w:tabs>
        <w:suppressAutoHyphens/>
      </w:pPr>
    </w:p>
    <w:tbl>
      <w:tblPr>
        <w:tblW w:w="9414" w:type="dxa"/>
        <w:tblInd w:w="828" w:type="dxa"/>
        <w:tblLayout w:type="fixed"/>
        <w:tblCellMar>
          <w:left w:w="72" w:type="dxa"/>
          <w:right w:w="72" w:type="dxa"/>
        </w:tblCellMar>
        <w:tblLook w:val="0000"/>
      </w:tblPr>
      <w:tblGrid>
        <w:gridCol w:w="414"/>
        <w:gridCol w:w="9000"/>
      </w:tblGrid>
      <w:tr w:rsidR="00EB26F9" w:rsidTr="00437F4F">
        <w:tc>
          <w:tcPr>
            <w:tcW w:w="414" w:type="dxa"/>
          </w:tcPr>
          <w:p w:rsidR="00EB26F9" w:rsidRDefault="00EB26F9">
            <w:pPr>
              <w:tabs>
                <w:tab w:val="left" w:pos="-720"/>
              </w:tabs>
              <w:suppressAutoHyphens/>
            </w:pPr>
            <w:r>
              <w:t>»</w:t>
            </w:r>
          </w:p>
          <w:p w:rsidR="00EB26F9" w:rsidRDefault="00EB26F9">
            <w:pPr>
              <w:tabs>
                <w:tab w:val="left" w:pos="-720"/>
              </w:tabs>
              <w:suppressAutoHyphens/>
            </w:pPr>
          </w:p>
          <w:p w:rsidR="00EB26F9" w:rsidRDefault="00EB26F9">
            <w:pPr>
              <w:tabs>
                <w:tab w:val="left" w:pos="-720"/>
              </w:tabs>
              <w:suppressAutoHyphens/>
            </w:pPr>
          </w:p>
          <w:p w:rsidR="00EB26F9" w:rsidRDefault="00EB26F9">
            <w:pPr>
              <w:tabs>
                <w:tab w:val="left" w:pos="-720"/>
              </w:tabs>
              <w:suppressAutoHyphens/>
            </w:pPr>
            <w:r>
              <w:t>»</w:t>
            </w:r>
          </w:p>
          <w:p w:rsidR="00EB26F9" w:rsidRDefault="00EB26F9">
            <w:pPr>
              <w:tabs>
                <w:tab w:val="left" w:pos="-720"/>
              </w:tabs>
              <w:suppressAutoHyphens/>
            </w:pPr>
          </w:p>
          <w:p w:rsidR="00EB26F9" w:rsidRDefault="00EB26F9">
            <w:pPr>
              <w:tabs>
                <w:tab w:val="left" w:pos="-720"/>
              </w:tabs>
              <w:suppressAutoHyphens/>
            </w:pPr>
          </w:p>
          <w:p w:rsidR="00EB26F9" w:rsidRDefault="00EB26F9">
            <w:pPr>
              <w:tabs>
                <w:tab w:val="left" w:pos="-720"/>
              </w:tabs>
              <w:suppressAutoHyphens/>
            </w:pPr>
            <w:r>
              <w:t>»</w:t>
            </w:r>
          </w:p>
          <w:p w:rsidR="00EB26F9" w:rsidRDefault="00EB26F9">
            <w:pPr>
              <w:tabs>
                <w:tab w:val="left" w:pos="-720"/>
              </w:tabs>
              <w:suppressAutoHyphens/>
            </w:pPr>
          </w:p>
          <w:p w:rsidR="00EB26F9" w:rsidRDefault="00EB26F9" w:rsidP="00EB26F9">
            <w:pPr>
              <w:autoSpaceDE w:val="0"/>
              <w:autoSpaceDN w:val="0"/>
              <w:adjustRightInd w:val="0"/>
              <w:rPr>
                <w:color w:val="000000"/>
                <w:szCs w:val="22"/>
              </w:rPr>
            </w:pPr>
          </w:p>
          <w:p w:rsidR="00EB26F9" w:rsidRDefault="00EB26F9" w:rsidP="00EB26F9">
            <w:pPr>
              <w:tabs>
                <w:tab w:val="left" w:pos="-720"/>
              </w:tabs>
              <w:suppressAutoHyphens/>
            </w:pPr>
          </w:p>
        </w:tc>
        <w:tc>
          <w:tcPr>
            <w:tcW w:w="9000" w:type="dxa"/>
          </w:tcPr>
          <w:p w:rsidR="00EB26F9" w:rsidRDefault="00EB26F9">
            <w:pPr>
              <w:tabs>
                <w:tab w:val="left" w:pos="-720"/>
                <w:tab w:val="left" w:pos="0"/>
                <w:tab w:val="left" w:pos="720"/>
              </w:tabs>
              <w:suppressAutoHyphens/>
            </w:pPr>
            <w:r>
              <w:t xml:space="preserve">To provide information to enable </w:t>
            </w:r>
            <w:r>
              <w:rPr>
                <w:noProof/>
              </w:rPr>
              <w:t>Coast CCD</w:t>
            </w:r>
            <w:r>
              <w:t xml:space="preserve"> to manage the costs and liabilities associated with its retiree health benefits.</w:t>
            </w:r>
            <w:r>
              <w:br/>
            </w:r>
          </w:p>
          <w:p w:rsidR="00EB26F9" w:rsidRDefault="00EB26F9">
            <w:pPr>
              <w:tabs>
                <w:tab w:val="left" w:pos="-720"/>
                <w:tab w:val="left" w:pos="0"/>
                <w:tab w:val="left" w:pos="720"/>
              </w:tabs>
              <w:suppressAutoHyphens/>
            </w:pPr>
            <w:r>
              <w:t xml:space="preserve">To provide information to enable </w:t>
            </w:r>
            <w:r>
              <w:rPr>
                <w:noProof/>
              </w:rPr>
              <w:t>Coast CCD</w:t>
            </w:r>
            <w:r>
              <w:t xml:space="preserve"> to communicate the financial implications of retiree health benefits to internal financial staff, the Board, employee groups and other affected parties.</w:t>
            </w:r>
            <w:r>
              <w:br/>
            </w:r>
          </w:p>
          <w:p w:rsidR="00EB26F9" w:rsidRDefault="00EB26F9" w:rsidP="00437F4F">
            <w:pPr>
              <w:autoSpaceDE w:val="0"/>
              <w:autoSpaceDN w:val="0"/>
              <w:adjustRightInd w:val="0"/>
            </w:pPr>
            <w:r>
              <w:t>To provide information needed to comply with Governmental Accounting Standards Board Accounting Standard 12 (GASB 12) and with the forthcoming GASB accounting standards 43 and 45 related to "other postemployment benefits" (OPEB's).</w:t>
            </w:r>
          </w:p>
        </w:tc>
      </w:tr>
    </w:tbl>
    <w:p w:rsidR="00EB26F9" w:rsidRDefault="00EB26F9">
      <w:pPr>
        <w:tabs>
          <w:tab w:val="left" w:pos="-720"/>
        </w:tabs>
        <w:suppressAutoHyphens/>
      </w:pPr>
      <w:r>
        <w:t xml:space="preserve">Because this report was prepared in compliance with GASB 43 and 45, as appropriate, </w:t>
      </w:r>
      <w:r>
        <w:rPr>
          <w:noProof/>
        </w:rPr>
        <w:t>Coast CCD</w:t>
      </w:r>
      <w:r>
        <w:t xml:space="preserve"> should not use this report for any other purpose without discussion with TCS. This means that any discussions with employee groups, governing Boards, etc. should be restricted to the implications of GASB 43 and 45 compliance.</w:t>
      </w:r>
    </w:p>
    <w:p w:rsidR="00EB26F9" w:rsidRDefault="00EB26F9">
      <w:pPr>
        <w:tabs>
          <w:tab w:val="left" w:pos="-720"/>
        </w:tabs>
        <w:suppressAutoHyphens/>
      </w:pPr>
    </w:p>
    <w:p w:rsidR="00EB26F9" w:rsidRDefault="00EB26F9">
      <w:pPr>
        <w:tabs>
          <w:tab w:val="left" w:pos="-720"/>
        </w:tabs>
        <w:suppressAutoHyphens/>
      </w:pPr>
      <w:r>
        <w:tab/>
        <w:t xml:space="preserve">This actuarial report includes several estimates for </w:t>
      </w:r>
      <w:r>
        <w:rPr>
          <w:noProof/>
        </w:rPr>
        <w:t>Coast CCD</w:t>
      </w:r>
      <w:r>
        <w:t xml:space="preserve">'s retiree health program. In addition to the tables included in this report, we also performed cash flow adequacy tests as required under Actuarial Standard of Practice 6 (ASOP 6). Our cash flow adequacy testing covers a twenty-year period. We would be happy to make this cash flow adequacy test available to </w:t>
      </w:r>
      <w:r>
        <w:rPr>
          <w:noProof/>
        </w:rPr>
        <w:t>Coast CCD</w:t>
      </w:r>
      <w:r>
        <w:t xml:space="preserve"> in spreadsheet format upon request.</w:t>
      </w:r>
    </w:p>
    <w:p w:rsidR="00EB26F9" w:rsidRDefault="00EB26F9">
      <w:pPr>
        <w:tabs>
          <w:tab w:val="left" w:pos="-720"/>
        </w:tabs>
        <w:suppressAutoHyphens/>
      </w:pPr>
    </w:p>
    <w:p w:rsidR="00EB26F9" w:rsidRDefault="00EB26F9">
      <w:pPr>
        <w:tabs>
          <w:tab w:val="left" w:pos="-720"/>
        </w:tabs>
        <w:suppressAutoHyphens/>
      </w:pPr>
      <w:r>
        <w:tab/>
        <w:t xml:space="preserve">We calculated the following estimates separately for active employees and retirees. </w:t>
      </w:r>
      <w:r>
        <w:rPr>
          <w:color w:val="000000"/>
          <w:szCs w:val="22"/>
        </w:rPr>
        <w:t>As requested, we also separated results by the following employee classifications: Faculty, Classified and Management.</w:t>
      </w:r>
      <w:r>
        <w:t xml:space="preserve"> We estimated the following:</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r>
      <w:r>
        <w:sym w:font="Wingdings" w:char="F0D8"/>
      </w:r>
      <w:r>
        <w:tab/>
        <w:t>the total liability created. (The actuarial present value of total projected benefits or APVTPB)</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r>
      <w:r>
        <w:sym w:font="Wingdings" w:char="F0D8"/>
      </w:r>
      <w:r>
        <w:tab/>
        <w:t xml:space="preserve">the </w:t>
      </w:r>
      <w:r>
        <w:rPr>
          <w:noProof/>
        </w:rPr>
        <w:t>ten</w:t>
      </w:r>
      <w:r>
        <w:t xml:space="preserve"> year "pay-as-you-go" cost to provide these benefits.</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r>
      <w:r>
        <w:sym w:font="Wingdings" w:char="F0D8"/>
      </w:r>
      <w:r>
        <w:tab/>
        <w:t xml:space="preserve">the "actuarial accrued liability (AAL)."  (The AAL is the portion of the APVTPB attributable to employees’ service prior to the valuation date.) </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lastRenderedPageBreak/>
        <w:tab/>
      </w:r>
      <w:r>
        <w:sym w:font="Wingdings" w:char="F0D8"/>
      </w:r>
      <w:r>
        <w:tab/>
        <w:t xml:space="preserve">the amount necessary to amortize the UAAL over a period of </w:t>
      </w:r>
      <w:r>
        <w:rPr>
          <w:noProof/>
        </w:rPr>
        <w:t>30</w:t>
      </w:r>
      <w:r>
        <w:t xml:space="preserve"> years.</w:t>
      </w:r>
    </w:p>
    <w:p w:rsidR="00EB26F9" w:rsidRDefault="00EB26F9">
      <w:pPr>
        <w:tabs>
          <w:tab w:val="left" w:pos="-720"/>
        </w:tabs>
        <w:suppressAutoHyphens/>
      </w:pPr>
    </w:p>
    <w:p w:rsidR="00EB26F9" w:rsidRDefault="00EB26F9">
      <w:pPr>
        <w:numPr>
          <w:ilvl w:val="0"/>
          <w:numId w:val="3"/>
        </w:numPr>
        <w:tabs>
          <w:tab w:val="left" w:pos="-720"/>
          <w:tab w:val="left" w:pos="0"/>
          <w:tab w:val="left" w:pos="720"/>
        </w:tabs>
        <w:suppressAutoHyphens/>
        <w:ind w:right="720"/>
      </w:pPr>
      <w:r>
        <w:t>the annual contribution required to fund retiree benefits over the working lifetime of eligible employees (the "normal cost").</w:t>
      </w:r>
      <w:r>
        <w:br/>
      </w:r>
    </w:p>
    <w:p w:rsidR="00EB26F9" w:rsidRDefault="00EB26F9">
      <w:pPr>
        <w:numPr>
          <w:ilvl w:val="0"/>
          <w:numId w:val="3"/>
        </w:numPr>
        <w:tabs>
          <w:tab w:val="left" w:pos="-720"/>
          <w:tab w:val="left" w:pos="0"/>
          <w:tab w:val="left" w:pos="720"/>
        </w:tabs>
        <w:suppressAutoHyphens/>
        <w:ind w:right="720"/>
      </w:pPr>
      <w:r>
        <w:t>The Annual Required Contribution (ARC) which is the basis of calculating the annual OPEB cost and net OPEB obligation under GASB 43 and 45.</w:t>
      </w:r>
    </w:p>
    <w:p w:rsidR="00EB26F9" w:rsidRDefault="00EB26F9">
      <w:pPr>
        <w:tabs>
          <w:tab w:val="left" w:pos="-720"/>
        </w:tabs>
        <w:suppressAutoHyphens/>
      </w:pPr>
    </w:p>
    <w:p w:rsidR="00EB26F9" w:rsidRDefault="00EB26F9">
      <w:pPr>
        <w:tabs>
          <w:tab w:val="left" w:pos="-720"/>
        </w:tabs>
        <w:suppressAutoHyphens/>
      </w:pPr>
      <w:r>
        <w:tab/>
        <w:t>We summarized the data used to perform this study in Appendix A. No effort was made to verify this information beyond brief tests for reasonableness and consistency.</w:t>
      </w:r>
    </w:p>
    <w:p w:rsidR="00EB26F9" w:rsidRDefault="00EB26F9">
      <w:pPr>
        <w:tabs>
          <w:tab w:val="left" w:pos="-720"/>
        </w:tabs>
        <w:suppressAutoHyphens/>
      </w:pPr>
    </w:p>
    <w:p w:rsidR="00EB26F9" w:rsidRDefault="00EB26F9">
      <w:pPr>
        <w:tabs>
          <w:tab w:val="left" w:pos="-720"/>
        </w:tabs>
        <w:suppressAutoHyphens/>
      </w:pPr>
      <w:r>
        <w:tab/>
        <w:t xml:space="preserve">All cost and liability figures contained in this study are estimates of future results.  Future results can vary dramatically and the accuracy of estimates contained in this report depends on the actuarial assumptions used.  Normal costs and liabilities could easily vary by 10 - 20% or more from estimates contained in this report.  </w:t>
      </w:r>
    </w:p>
    <w:p w:rsidR="00EB26F9" w:rsidRDefault="00EB26F9">
      <w:pPr>
        <w:pStyle w:val="Heading2"/>
        <w:rPr>
          <w:rFonts w:ascii="Times New Roman" w:hAnsi="Times New Roman"/>
          <w:i w:val="0"/>
          <w:sz w:val="22"/>
          <w:u w:val="single"/>
        </w:rPr>
      </w:pPr>
      <w:bookmarkStart w:id="2" w:name="_Toc327518670"/>
      <w:r>
        <w:rPr>
          <w:rFonts w:ascii="Times New Roman" w:hAnsi="Times New Roman"/>
          <w:i w:val="0"/>
          <w:sz w:val="22"/>
          <w:u w:val="single"/>
        </w:rPr>
        <w:t>B.  General Findings</w:t>
      </w:r>
      <w:bookmarkEnd w:id="2"/>
    </w:p>
    <w:p w:rsidR="00EB26F9" w:rsidRDefault="00EB26F9">
      <w:pPr>
        <w:tabs>
          <w:tab w:val="left" w:pos="-720"/>
        </w:tabs>
        <w:suppressAutoHyphens/>
      </w:pPr>
    </w:p>
    <w:p w:rsidR="00EB26F9" w:rsidRDefault="00EB26F9">
      <w:pPr>
        <w:tabs>
          <w:tab w:val="left" w:pos="-720"/>
        </w:tabs>
        <w:suppressAutoHyphens/>
      </w:pPr>
      <w:r>
        <w:tab/>
        <w:t xml:space="preserve">We estimate the "pay-as-you-go" cost of providing retiree health benefits in the year beginning </w:t>
      </w:r>
      <w:r>
        <w:rPr>
          <w:noProof/>
        </w:rPr>
        <w:t>May 1, 2012</w:t>
      </w:r>
      <w:r>
        <w:t xml:space="preserve"> to be </w:t>
      </w:r>
      <w:r w:rsidR="002548E2">
        <w:t>$</w:t>
      </w:r>
      <w:r>
        <w:rPr>
          <w:noProof/>
        </w:rPr>
        <w:t>7</w:t>
      </w:r>
      <w:r w:rsidR="002548E2">
        <w:rPr>
          <w:noProof/>
        </w:rPr>
        <w:t>,</w:t>
      </w:r>
      <w:r>
        <w:rPr>
          <w:noProof/>
        </w:rPr>
        <w:t>316</w:t>
      </w:r>
      <w:r w:rsidR="002548E2">
        <w:rPr>
          <w:noProof/>
        </w:rPr>
        <w:t>,</w:t>
      </w:r>
      <w:r>
        <w:rPr>
          <w:noProof/>
        </w:rPr>
        <w:t>318</w:t>
      </w:r>
      <w:r>
        <w:t xml:space="preserve"> (see Section IV.A.). The “pay-as-you-go” cost is the cost of benefits for current retirees. </w:t>
      </w:r>
    </w:p>
    <w:p w:rsidR="00EB26F9" w:rsidRDefault="00EB26F9">
      <w:pPr>
        <w:tabs>
          <w:tab w:val="left" w:pos="-720"/>
        </w:tabs>
        <w:suppressAutoHyphens/>
      </w:pPr>
    </w:p>
    <w:p w:rsidR="00EB26F9" w:rsidRDefault="00EB26F9">
      <w:pPr>
        <w:tabs>
          <w:tab w:val="left" w:pos="-720"/>
        </w:tabs>
        <w:suppressAutoHyphens/>
      </w:pPr>
      <w:r>
        <w:tab/>
        <w:t xml:space="preserve">For current employees, the value of benefits "accrued" in the year beginning </w:t>
      </w:r>
      <w:r>
        <w:rPr>
          <w:noProof/>
        </w:rPr>
        <w:t>May 1, 2012</w:t>
      </w:r>
      <w:r>
        <w:t xml:space="preserve"> (the normal cost) is </w:t>
      </w:r>
      <w:r w:rsidR="002548E2">
        <w:t>$</w:t>
      </w:r>
      <w:r>
        <w:rPr>
          <w:noProof/>
        </w:rPr>
        <w:t>3</w:t>
      </w:r>
      <w:r w:rsidR="002548E2">
        <w:rPr>
          <w:noProof/>
        </w:rPr>
        <w:t>,</w:t>
      </w:r>
      <w:r>
        <w:rPr>
          <w:noProof/>
        </w:rPr>
        <w:t>578</w:t>
      </w:r>
      <w:r w:rsidR="002548E2">
        <w:rPr>
          <w:noProof/>
        </w:rPr>
        <w:t>,</w:t>
      </w:r>
      <w:r>
        <w:rPr>
          <w:noProof/>
        </w:rPr>
        <w:t>372</w:t>
      </w:r>
      <w:r>
        <w:t>.</w:t>
      </w:r>
      <w:r>
        <w:rPr>
          <w:color w:val="000000"/>
        </w:rPr>
        <w:t xml:space="preserve"> </w:t>
      </w:r>
      <w:r>
        <w:rPr>
          <w:color w:val="000000"/>
          <w:szCs w:val="22"/>
        </w:rPr>
        <w:t xml:space="preserve"> This normal cost would increase each year based on covered payroll.</w:t>
      </w:r>
      <w:r>
        <w:rPr>
          <w:color w:val="000000"/>
        </w:rPr>
        <w:t xml:space="preserve"> </w:t>
      </w:r>
      <w:r>
        <w:t xml:space="preserve">Had </w:t>
      </w:r>
      <w:r>
        <w:rPr>
          <w:noProof/>
        </w:rPr>
        <w:t>Coast CCD</w:t>
      </w:r>
      <w:r>
        <w:t xml:space="preserve"> begun accruing retiree health benefits when each current employee and retiree was hired, a substantial liability would have accumulated.  We estimate the amount that would have accumulated to be </w:t>
      </w:r>
      <w:r w:rsidR="002548E2">
        <w:t>$</w:t>
      </w:r>
      <w:r>
        <w:rPr>
          <w:noProof/>
        </w:rPr>
        <w:t>99</w:t>
      </w:r>
      <w:r w:rsidR="002548E2">
        <w:rPr>
          <w:noProof/>
        </w:rPr>
        <w:t>,</w:t>
      </w:r>
      <w:r>
        <w:rPr>
          <w:noProof/>
        </w:rPr>
        <w:t>096</w:t>
      </w:r>
      <w:r w:rsidR="002548E2">
        <w:rPr>
          <w:noProof/>
        </w:rPr>
        <w:t>,</w:t>
      </w:r>
      <w:r>
        <w:rPr>
          <w:noProof/>
        </w:rPr>
        <w:t>647</w:t>
      </w:r>
      <w:r>
        <w:t>. This amount is called the "actuarial accrued liability” (AAL).</w:t>
      </w:r>
      <w:r w:rsidR="00437F4F" w:rsidRPr="00437F4F">
        <w:t xml:space="preserve"> </w:t>
      </w:r>
      <w:r w:rsidR="00437F4F">
        <w:t>Of this, the remaining unamortized initial UAAL is $5</w:t>
      </w:r>
      <w:r w:rsidR="00772E45">
        <w:t>1</w:t>
      </w:r>
      <w:r w:rsidR="00437F4F">
        <w:t>,</w:t>
      </w:r>
      <w:r w:rsidR="00772E45">
        <w:t>155</w:t>
      </w:r>
      <w:r w:rsidR="00437F4F">
        <w:t>,</w:t>
      </w:r>
      <w:r w:rsidR="00772E45">
        <w:t>113</w:t>
      </w:r>
      <w:r w:rsidR="00437F4F">
        <w:t>. This leaves a “residual” AAL of $</w:t>
      </w:r>
      <w:r w:rsidR="00772E45">
        <w:t>47</w:t>
      </w:r>
      <w:r w:rsidR="00437F4F">
        <w:t>,</w:t>
      </w:r>
      <w:r w:rsidR="00772E45">
        <w:t>941</w:t>
      </w:r>
      <w:r w:rsidR="00437F4F">
        <w:t>,</w:t>
      </w:r>
      <w:r w:rsidR="00772E45">
        <w:t>534</w:t>
      </w:r>
      <w:r w:rsidR="00437F4F">
        <w:t>.</w:t>
      </w:r>
    </w:p>
    <w:p w:rsidR="00EB26F9" w:rsidRDefault="00EB26F9">
      <w:pPr>
        <w:tabs>
          <w:tab w:val="left" w:pos="-720"/>
        </w:tabs>
        <w:suppressAutoHyphens/>
      </w:pPr>
    </w:p>
    <w:p w:rsidR="00EB26F9" w:rsidRDefault="00EB26F9">
      <w:pPr>
        <w:tabs>
          <w:tab w:val="left" w:pos="-720"/>
        </w:tabs>
        <w:suppressAutoHyphens/>
      </w:pPr>
      <w:r>
        <w:tab/>
      </w:r>
      <w:r w:rsidR="00772E45">
        <w:rPr>
          <w:color w:val="000000"/>
          <w:szCs w:val="22"/>
        </w:rPr>
        <w:t>Coast CCD has established a GASB 43 qualifying trust to cover retiree health liabilities. At the valuation date, the value of plan assets was $43,568,462. This leaves an unfunded residual actuarial accrued liability (UAAL) of $4,373,072.</w:t>
      </w:r>
      <w:r w:rsidR="00772E45">
        <w:t xml:space="preserve"> We calculated the annual cost to amortize the unfunded actuarial accrued liability using a </w:t>
      </w:r>
      <w:r w:rsidR="00772E45">
        <w:rPr>
          <w:noProof/>
        </w:rPr>
        <w:t>7</w:t>
      </w:r>
      <w:r w:rsidR="00772E45">
        <w:t>% discount rate.  We used an open 30 year amortization period. The current year cost to amortize the unfunded residual actuarial accrued liability is $249</w:t>
      </w:r>
      <w:r w:rsidR="00772E45">
        <w:rPr>
          <w:noProof/>
        </w:rPr>
        <w:t>,291</w:t>
      </w:r>
      <w:r w:rsidR="00772E45">
        <w:t>.</w:t>
      </w:r>
    </w:p>
    <w:p w:rsidR="00EB26F9" w:rsidRDefault="00EB26F9">
      <w:pPr>
        <w:tabs>
          <w:tab w:val="left" w:pos="-720"/>
        </w:tabs>
        <w:suppressAutoHyphens/>
      </w:pPr>
    </w:p>
    <w:p w:rsidR="00EB26F9" w:rsidRDefault="00EB26F9">
      <w:pPr>
        <w:tabs>
          <w:tab w:val="left" w:pos="-720"/>
        </w:tabs>
        <w:suppressAutoHyphens/>
      </w:pPr>
      <w:r>
        <w:tab/>
      </w:r>
      <w:r w:rsidR="00772E45">
        <w:t>Combining the normal cost with both the initial and residual UAAL amortization costs produces an annual required contribution (ARC) of $</w:t>
      </w:r>
      <w:r w:rsidR="00772E45">
        <w:rPr>
          <w:noProof/>
        </w:rPr>
        <w:t>8,124,575</w:t>
      </w:r>
      <w:r w:rsidR="00772E45">
        <w:t>. The ARC is used as the basis for determining expenses and liabilities under GASB 43/45. The ARC is used in lieu of (rather than in addition to) the “pay-as-you-go” cost..</w:t>
      </w:r>
    </w:p>
    <w:p w:rsidR="00EB26F9" w:rsidRDefault="00EB26F9">
      <w:pPr>
        <w:tabs>
          <w:tab w:val="left" w:pos="-720"/>
        </w:tabs>
        <w:suppressAutoHyphens/>
      </w:pPr>
    </w:p>
    <w:p w:rsidR="00EB26F9" w:rsidRDefault="00EB26F9">
      <w:pPr>
        <w:tabs>
          <w:tab w:val="left" w:pos="-720"/>
        </w:tabs>
        <w:suppressAutoHyphens/>
      </w:pPr>
      <w:r>
        <w:tab/>
        <w:t xml:space="preserve">We based all of the above estimates on employees as of </w:t>
      </w:r>
      <w:r w:rsidR="002548E2">
        <w:rPr>
          <w:noProof/>
        </w:rPr>
        <w:t xml:space="preserve">April, </w:t>
      </w:r>
      <w:r>
        <w:rPr>
          <w:noProof/>
        </w:rPr>
        <w:t>2012</w:t>
      </w:r>
      <w:r>
        <w:t>. Over time, liabilities and cash flow will vary based on the number and demographic characteristics of employees and retirees.</w:t>
      </w:r>
    </w:p>
    <w:p w:rsidR="00EB26F9" w:rsidRDefault="00EB26F9">
      <w:pPr>
        <w:pStyle w:val="Heading2"/>
        <w:rPr>
          <w:rFonts w:ascii="Times New Roman" w:hAnsi="Times New Roman"/>
          <w:i w:val="0"/>
          <w:sz w:val="22"/>
          <w:u w:val="single"/>
        </w:rPr>
      </w:pPr>
      <w:bookmarkStart w:id="3" w:name="_Toc327518671"/>
      <w:r>
        <w:rPr>
          <w:rFonts w:ascii="Times New Roman" w:hAnsi="Times New Roman"/>
          <w:i w:val="0"/>
          <w:sz w:val="22"/>
          <w:u w:val="single"/>
        </w:rPr>
        <w:t>C.  Description of Retiree Benefits</w:t>
      </w:r>
      <w:bookmarkEnd w:id="3"/>
    </w:p>
    <w:p w:rsidR="00EB26F9" w:rsidRDefault="00EB26F9">
      <w:pPr>
        <w:tabs>
          <w:tab w:val="left" w:pos="-720"/>
        </w:tabs>
        <w:suppressAutoHyphens/>
      </w:pPr>
    </w:p>
    <w:p w:rsidR="00EB26F9" w:rsidRDefault="00EB26F9">
      <w:pPr>
        <w:tabs>
          <w:tab w:val="left" w:pos="-720"/>
        </w:tabs>
        <w:suppressAutoHyphens/>
      </w:pPr>
      <w:r>
        <w:tab/>
        <w:t>Following is a description of the current retiree benefit plan:</w:t>
      </w:r>
    </w:p>
    <w:p w:rsidR="00772E45" w:rsidRDefault="00EB26F9" w:rsidP="00772E45">
      <w:pPr>
        <w:tabs>
          <w:tab w:val="left" w:pos="-720"/>
        </w:tabs>
        <w:suppressAutoHyphens/>
        <w:rPr>
          <w:noProof/>
          <w:snapToGrid/>
          <w:spacing w:val="0"/>
          <w:sz w:val="20"/>
        </w:rPr>
      </w:pPr>
      <w:r>
        <w:br w:type="page"/>
      </w:r>
    </w:p>
    <w:tbl>
      <w:tblPr>
        <w:tblW w:w="10620" w:type="dxa"/>
        <w:tblInd w:w="-330" w:type="dxa"/>
        <w:tblLayout w:type="fixed"/>
        <w:tblCellMar>
          <w:left w:w="30" w:type="dxa"/>
          <w:right w:w="30" w:type="dxa"/>
        </w:tblCellMar>
        <w:tblLook w:val="0000"/>
      </w:tblPr>
      <w:tblGrid>
        <w:gridCol w:w="2070"/>
        <w:gridCol w:w="2850"/>
        <w:gridCol w:w="2850"/>
        <w:gridCol w:w="2850"/>
      </w:tblGrid>
      <w:tr w:rsidR="00772E45" w:rsidTr="00772E45">
        <w:trPr>
          <w:trHeight w:val="307"/>
        </w:trPr>
        <w:tc>
          <w:tcPr>
            <w:tcW w:w="2070" w:type="dxa"/>
          </w:tcPr>
          <w:p w:rsidR="00772E45" w:rsidRDefault="00772E45" w:rsidP="00772E45">
            <w:pPr>
              <w:jc w:val="right"/>
              <w:rPr>
                <w:color w:val="000000"/>
              </w:rPr>
            </w:pPr>
          </w:p>
        </w:tc>
        <w:tc>
          <w:tcPr>
            <w:tcW w:w="2850" w:type="dxa"/>
          </w:tcPr>
          <w:p w:rsidR="00772E45" w:rsidRDefault="00772E45" w:rsidP="00772E45">
            <w:pPr>
              <w:jc w:val="center"/>
              <w:rPr>
                <w:b/>
                <w:color w:val="000000"/>
                <w:u w:val="single"/>
              </w:rPr>
            </w:pPr>
            <w:r>
              <w:rPr>
                <w:b/>
                <w:color w:val="000000"/>
                <w:u w:val="single"/>
              </w:rPr>
              <w:t>Faculty</w:t>
            </w:r>
          </w:p>
        </w:tc>
        <w:tc>
          <w:tcPr>
            <w:tcW w:w="2850" w:type="dxa"/>
          </w:tcPr>
          <w:p w:rsidR="00772E45" w:rsidRDefault="00772E45" w:rsidP="00772E45">
            <w:pPr>
              <w:jc w:val="center"/>
              <w:rPr>
                <w:b/>
                <w:color w:val="000000"/>
                <w:u w:val="single"/>
              </w:rPr>
            </w:pPr>
            <w:r>
              <w:rPr>
                <w:b/>
                <w:color w:val="000000"/>
                <w:u w:val="single"/>
              </w:rPr>
              <w:t>Classified</w:t>
            </w:r>
          </w:p>
        </w:tc>
        <w:tc>
          <w:tcPr>
            <w:tcW w:w="2850" w:type="dxa"/>
          </w:tcPr>
          <w:p w:rsidR="00772E45" w:rsidRDefault="00772E45" w:rsidP="00772E45">
            <w:pPr>
              <w:jc w:val="center"/>
              <w:rPr>
                <w:b/>
                <w:color w:val="000000"/>
                <w:u w:val="single"/>
              </w:rPr>
            </w:pPr>
            <w:r>
              <w:rPr>
                <w:b/>
                <w:color w:val="000000"/>
                <w:u w:val="single"/>
              </w:rPr>
              <w:t>Management</w:t>
            </w:r>
          </w:p>
        </w:tc>
      </w:tr>
      <w:tr w:rsidR="00772E45" w:rsidTr="00772E45">
        <w:trPr>
          <w:trHeight w:val="342"/>
        </w:trPr>
        <w:tc>
          <w:tcPr>
            <w:tcW w:w="2070" w:type="dxa"/>
          </w:tcPr>
          <w:p w:rsidR="00772E45" w:rsidRDefault="00772E45" w:rsidP="00772E45">
            <w:pPr>
              <w:jc w:val="right"/>
              <w:rPr>
                <w:color w:val="000000"/>
              </w:rPr>
            </w:pPr>
            <w:r>
              <w:rPr>
                <w:color w:val="000000"/>
              </w:rPr>
              <w:t>Benefit types provided</w:t>
            </w:r>
          </w:p>
        </w:tc>
        <w:tc>
          <w:tcPr>
            <w:tcW w:w="2850" w:type="dxa"/>
          </w:tcPr>
          <w:p w:rsidR="00772E45" w:rsidRDefault="00772E45" w:rsidP="00772E45">
            <w:pPr>
              <w:jc w:val="center"/>
              <w:rPr>
                <w:color w:val="000000"/>
              </w:rPr>
            </w:pPr>
            <w:r>
              <w:rPr>
                <w:color w:val="000000"/>
              </w:rPr>
              <w:t>Medical, dental and vision*</w:t>
            </w:r>
          </w:p>
        </w:tc>
        <w:tc>
          <w:tcPr>
            <w:tcW w:w="2850" w:type="dxa"/>
          </w:tcPr>
          <w:p w:rsidR="00772E45" w:rsidRDefault="00772E45" w:rsidP="00772E45">
            <w:pPr>
              <w:jc w:val="center"/>
              <w:rPr>
                <w:color w:val="000000"/>
              </w:rPr>
            </w:pPr>
            <w:r>
              <w:rPr>
                <w:color w:val="000000"/>
              </w:rPr>
              <w:t>Medical, dental and vision*</w:t>
            </w:r>
          </w:p>
        </w:tc>
        <w:tc>
          <w:tcPr>
            <w:tcW w:w="2850" w:type="dxa"/>
          </w:tcPr>
          <w:p w:rsidR="00772E45" w:rsidRDefault="00772E45" w:rsidP="00772E45">
            <w:pPr>
              <w:jc w:val="center"/>
              <w:rPr>
                <w:color w:val="000000"/>
              </w:rPr>
            </w:pPr>
            <w:r>
              <w:rPr>
                <w:color w:val="000000"/>
              </w:rPr>
              <w:t>Medical, dental and vision*</w:t>
            </w:r>
          </w:p>
        </w:tc>
      </w:tr>
      <w:tr w:rsidR="00772E45" w:rsidTr="00772E45">
        <w:trPr>
          <w:trHeight w:val="307"/>
        </w:trPr>
        <w:tc>
          <w:tcPr>
            <w:tcW w:w="2070" w:type="dxa"/>
          </w:tcPr>
          <w:p w:rsidR="00772E45" w:rsidRDefault="00772E45" w:rsidP="00772E45">
            <w:pPr>
              <w:jc w:val="right"/>
              <w:rPr>
                <w:color w:val="000000"/>
              </w:rPr>
            </w:pPr>
            <w:r>
              <w:rPr>
                <w:color w:val="000000"/>
              </w:rPr>
              <w:t>Duration of Benefits</w:t>
            </w:r>
          </w:p>
        </w:tc>
        <w:tc>
          <w:tcPr>
            <w:tcW w:w="2850" w:type="dxa"/>
          </w:tcPr>
          <w:p w:rsidR="00772E45" w:rsidRDefault="00772E45" w:rsidP="00772E45">
            <w:pPr>
              <w:jc w:val="center"/>
              <w:rPr>
                <w:color w:val="000000"/>
              </w:rPr>
            </w:pPr>
            <w:r>
              <w:rPr>
                <w:color w:val="000000"/>
              </w:rPr>
              <w:t>Lifetime***</w:t>
            </w:r>
          </w:p>
        </w:tc>
        <w:tc>
          <w:tcPr>
            <w:tcW w:w="2850" w:type="dxa"/>
          </w:tcPr>
          <w:p w:rsidR="00772E45" w:rsidRDefault="00772E45" w:rsidP="00772E45">
            <w:pPr>
              <w:jc w:val="center"/>
              <w:rPr>
                <w:color w:val="000000"/>
              </w:rPr>
            </w:pPr>
            <w:r>
              <w:rPr>
                <w:color w:val="000000"/>
              </w:rPr>
              <w:t>Lifetime***</w:t>
            </w:r>
          </w:p>
        </w:tc>
        <w:tc>
          <w:tcPr>
            <w:tcW w:w="2850" w:type="dxa"/>
          </w:tcPr>
          <w:p w:rsidR="00772E45" w:rsidRDefault="00772E45" w:rsidP="00772E45">
            <w:pPr>
              <w:jc w:val="center"/>
              <w:rPr>
                <w:color w:val="000000"/>
              </w:rPr>
            </w:pPr>
            <w:r>
              <w:rPr>
                <w:color w:val="000000"/>
              </w:rPr>
              <w:t>Lifetime***</w:t>
            </w:r>
          </w:p>
        </w:tc>
      </w:tr>
      <w:tr w:rsidR="00772E45" w:rsidTr="00772E45">
        <w:trPr>
          <w:trHeight w:val="307"/>
        </w:trPr>
        <w:tc>
          <w:tcPr>
            <w:tcW w:w="2070" w:type="dxa"/>
          </w:tcPr>
          <w:p w:rsidR="00772E45" w:rsidRDefault="00772E45" w:rsidP="00772E45">
            <w:pPr>
              <w:jc w:val="right"/>
              <w:rPr>
                <w:color w:val="000000"/>
              </w:rPr>
            </w:pPr>
            <w:r>
              <w:rPr>
                <w:color w:val="000000"/>
              </w:rPr>
              <w:t>Required Service</w:t>
            </w:r>
          </w:p>
        </w:tc>
        <w:tc>
          <w:tcPr>
            <w:tcW w:w="2850" w:type="dxa"/>
          </w:tcPr>
          <w:p w:rsidR="00772E45" w:rsidRDefault="00772E45" w:rsidP="00772E45">
            <w:pPr>
              <w:jc w:val="center"/>
              <w:rPr>
                <w:color w:val="000000"/>
              </w:rPr>
            </w:pPr>
            <w:r>
              <w:rPr>
                <w:color w:val="000000"/>
              </w:rPr>
              <w:t>10 years</w:t>
            </w:r>
          </w:p>
        </w:tc>
        <w:tc>
          <w:tcPr>
            <w:tcW w:w="2850" w:type="dxa"/>
          </w:tcPr>
          <w:p w:rsidR="00772E45" w:rsidRDefault="00772E45" w:rsidP="00772E45">
            <w:pPr>
              <w:jc w:val="center"/>
              <w:rPr>
                <w:color w:val="000000"/>
              </w:rPr>
            </w:pPr>
            <w:r>
              <w:rPr>
                <w:color w:val="000000"/>
              </w:rPr>
              <w:t>10 years</w:t>
            </w:r>
          </w:p>
        </w:tc>
        <w:tc>
          <w:tcPr>
            <w:tcW w:w="2850" w:type="dxa"/>
          </w:tcPr>
          <w:p w:rsidR="00772E45" w:rsidRDefault="00772E45" w:rsidP="00772E45">
            <w:pPr>
              <w:jc w:val="center"/>
              <w:rPr>
                <w:color w:val="000000"/>
              </w:rPr>
            </w:pPr>
            <w:r>
              <w:rPr>
                <w:color w:val="000000"/>
              </w:rPr>
              <w:t>10 years</w:t>
            </w:r>
          </w:p>
        </w:tc>
      </w:tr>
      <w:tr w:rsidR="00772E45" w:rsidTr="00772E45">
        <w:trPr>
          <w:trHeight w:val="307"/>
        </w:trPr>
        <w:tc>
          <w:tcPr>
            <w:tcW w:w="2070" w:type="dxa"/>
          </w:tcPr>
          <w:p w:rsidR="00772E45" w:rsidRDefault="00772E45" w:rsidP="00772E45">
            <w:pPr>
              <w:jc w:val="right"/>
              <w:rPr>
                <w:color w:val="000000"/>
              </w:rPr>
            </w:pPr>
            <w:r>
              <w:rPr>
                <w:color w:val="000000"/>
              </w:rPr>
              <w:t>Minimum Age</w:t>
            </w:r>
          </w:p>
        </w:tc>
        <w:tc>
          <w:tcPr>
            <w:tcW w:w="2850" w:type="dxa"/>
          </w:tcPr>
          <w:p w:rsidR="00772E45" w:rsidRDefault="00772E45" w:rsidP="00772E45">
            <w:pPr>
              <w:jc w:val="center"/>
              <w:rPr>
                <w:color w:val="000000"/>
              </w:rPr>
            </w:pPr>
            <w:r>
              <w:rPr>
                <w:color w:val="000000"/>
              </w:rPr>
              <w:t>55</w:t>
            </w:r>
          </w:p>
        </w:tc>
        <w:tc>
          <w:tcPr>
            <w:tcW w:w="2850" w:type="dxa"/>
          </w:tcPr>
          <w:p w:rsidR="00772E45" w:rsidRDefault="00772E45" w:rsidP="00772E45">
            <w:pPr>
              <w:jc w:val="center"/>
              <w:rPr>
                <w:color w:val="000000"/>
              </w:rPr>
            </w:pPr>
            <w:r>
              <w:rPr>
                <w:color w:val="000000"/>
              </w:rPr>
              <w:t>55</w:t>
            </w:r>
          </w:p>
        </w:tc>
        <w:tc>
          <w:tcPr>
            <w:tcW w:w="2850" w:type="dxa"/>
          </w:tcPr>
          <w:p w:rsidR="00772E45" w:rsidRDefault="00772E45" w:rsidP="00772E45">
            <w:pPr>
              <w:jc w:val="center"/>
              <w:rPr>
                <w:color w:val="000000"/>
              </w:rPr>
            </w:pPr>
            <w:r>
              <w:rPr>
                <w:color w:val="000000"/>
              </w:rPr>
              <w:t>55</w:t>
            </w:r>
          </w:p>
        </w:tc>
      </w:tr>
      <w:tr w:rsidR="00772E45" w:rsidTr="00772E45">
        <w:trPr>
          <w:trHeight w:val="307"/>
        </w:trPr>
        <w:tc>
          <w:tcPr>
            <w:tcW w:w="2070" w:type="dxa"/>
          </w:tcPr>
          <w:p w:rsidR="00772E45" w:rsidRDefault="00772E45" w:rsidP="00772E45">
            <w:pPr>
              <w:jc w:val="right"/>
              <w:rPr>
                <w:color w:val="000000"/>
              </w:rPr>
            </w:pPr>
            <w:r>
              <w:rPr>
                <w:color w:val="000000"/>
              </w:rPr>
              <w:t>Dependent Coverage</w:t>
            </w:r>
          </w:p>
        </w:tc>
        <w:tc>
          <w:tcPr>
            <w:tcW w:w="2850" w:type="dxa"/>
          </w:tcPr>
          <w:p w:rsidR="00772E45" w:rsidRDefault="00772E45" w:rsidP="00772E45">
            <w:pPr>
              <w:jc w:val="center"/>
              <w:rPr>
                <w:color w:val="000000"/>
              </w:rPr>
            </w:pPr>
            <w:r>
              <w:rPr>
                <w:color w:val="000000"/>
              </w:rPr>
              <w:t>Yes</w:t>
            </w:r>
          </w:p>
        </w:tc>
        <w:tc>
          <w:tcPr>
            <w:tcW w:w="2850" w:type="dxa"/>
          </w:tcPr>
          <w:p w:rsidR="00772E45" w:rsidRDefault="00772E45" w:rsidP="00772E45">
            <w:pPr>
              <w:jc w:val="center"/>
              <w:rPr>
                <w:color w:val="000000"/>
              </w:rPr>
            </w:pPr>
            <w:r>
              <w:rPr>
                <w:color w:val="000000"/>
              </w:rPr>
              <w:t>Yes</w:t>
            </w:r>
          </w:p>
        </w:tc>
        <w:tc>
          <w:tcPr>
            <w:tcW w:w="2850" w:type="dxa"/>
          </w:tcPr>
          <w:p w:rsidR="00772E45" w:rsidRDefault="00772E45" w:rsidP="00772E45">
            <w:pPr>
              <w:jc w:val="center"/>
              <w:rPr>
                <w:color w:val="000000"/>
              </w:rPr>
            </w:pPr>
            <w:r>
              <w:rPr>
                <w:color w:val="000000"/>
              </w:rPr>
              <w:t>Yes</w:t>
            </w:r>
          </w:p>
        </w:tc>
      </w:tr>
      <w:tr w:rsidR="00772E45" w:rsidTr="00772E45">
        <w:trPr>
          <w:trHeight w:val="307"/>
        </w:trPr>
        <w:tc>
          <w:tcPr>
            <w:tcW w:w="2070" w:type="dxa"/>
          </w:tcPr>
          <w:p w:rsidR="00772E45" w:rsidRDefault="00772E45" w:rsidP="00772E45">
            <w:pPr>
              <w:jc w:val="right"/>
              <w:rPr>
                <w:color w:val="000000"/>
              </w:rPr>
            </w:pPr>
            <w:r>
              <w:rPr>
                <w:color w:val="000000"/>
              </w:rPr>
              <w:t>District Contribution %</w:t>
            </w:r>
          </w:p>
        </w:tc>
        <w:tc>
          <w:tcPr>
            <w:tcW w:w="2850" w:type="dxa"/>
          </w:tcPr>
          <w:p w:rsidR="00772E45" w:rsidRDefault="00772E45" w:rsidP="00772E45">
            <w:pPr>
              <w:jc w:val="center"/>
              <w:rPr>
                <w:color w:val="000000"/>
              </w:rPr>
            </w:pPr>
            <w:r>
              <w:rPr>
                <w:color w:val="000000"/>
              </w:rPr>
              <w:t>100%** to age 70; Beyond 70, subject to cap</w:t>
            </w:r>
          </w:p>
        </w:tc>
        <w:tc>
          <w:tcPr>
            <w:tcW w:w="2850" w:type="dxa"/>
          </w:tcPr>
          <w:p w:rsidR="00772E45" w:rsidRDefault="00772E45" w:rsidP="00772E45">
            <w:pPr>
              <w:jc w:val="center"/>
              <w:rPr>
                <w:color w:val="000000"/>
              </w:rPr>
            </w:pPr>
            <w:r>
              <w:rPr>
                <w:color w:val="000000"/>
              </w:rPr>
              <w:t>100%** to age 70; Beyond 70, subject to cap</w:t>
            </w:r>
          </w:p>
        </w:tc>
        <w:tc>
          <w:tcPr>
            <w:tcW w:w="2850" w:type="dxa"/>
          </w:tcPr>
          <w:p w:rsidR="00772E45" w:rsidRDefault="00772E45" w:rsidP="00772E45">
            <w:pPr>
              <w:jc w:val="center"/>
              <w:rPr>
                <w:color w:val="000000"/>
              </w:rPr>
            </w:pPr>
            <w:r>
              <w:rPr>
                <w:color w:val="000000"/>
              </w:rPr>
              <w:t>100%** to age 70; Beyond 70, subject to cap</w:t>
            </w:r>
          </w:p>
        </w:tc>
      </w:tr>
      <w:tr w:rsidR="00772E45" w:rsidTr="00772E45">
        <w:trPr>
          <w:trHeight w:val="307"/>
        </w:trPr>
        <w:tc>
          <w:tcPr>
            <w:tcW w:w="2070" w:type="dxa"/>
          </w:tcPr>
          <w:p w:rsidR="00772E45" w:rsidRDefault="00772E45" w:rsidP="00772E45">
            <w:pPr>
              <w:jc w:val="right"/>
              <w:rPr>
                <w:color w:val="000000"/>
              </w:rPr>
            </w:pPr>
            <w:r>
              <w:rPr>
                <w:color w:val="000000"/>
              </w:rPr>
              <w:t>District Cap</w:t>
            </w:r>
          </w:p>
        </w:tc>
        <w:tc>
          <w:tcPr>
            <w:tcW w:w="2850" w:type="dxa"/>
          </w:tcPr>
          <w:p w:rsidR="00772E45" w:rsidRDefault="00772E45" w:rsidP="00772E45">
            <w:pPr>
              <w:jc w:val="center"/>
              <w:rPr>
                <w:color w:val="000000"/>
              </w:rPr>
            </w:pPr>
            <w:r>
              <w:rPr>
                <w:color w:val="000000"/>
              </w:rPr>
              <w:t>$4000 per year beyond 70****</w:t>
            </w:r>
          </w:p>
        </w:tc>
        <w:tc>
          <w:tcPr>
            <w:tcW w:w="2850" w:type="dxa"/>
          </w:tcPr>
          <w:p w:rsidR="00772E45" w:rsidRDefault="00772E45" w:rsidP="00772E45">
            <w:pPr>
              <w:jc w:val="center"/>
              <w:rPr>
                <w:color w:val="000000"/>
              </w:rPr>
            </w:pPr>
            <w:r>
              <w:rPr>
                <w:color w:val="000000"/>
              </w:rPr>
              <w:t>$4000 per year beyond 70****</w:t>
            </w:r>
          </w:p>
        </w:tc>
        <w:tc>
          <w:tcPr>
            <w:tcW w:w="2850" w:type="dxa"/>
          </w:tcPr>
          <w:p w:rsidR="00772E45" w:rsidRDefault="00772E45" w:rsidP="00772E45">
            <w:pPr>
              <w:jc w:val="center"/>
              <w:rPr>
                <w:color w:val="000000"/>
              </w:rPr>
            </w:pPr>
            <w:r>
              <w:rPr>
                <w:color w:val="000000"/>
              </w:rPr>
              <w:t>$4000 per year beyond 70****</w:t>
            </w:r>
          </w:p>
        </w:tc>
      </w:tr>
    </w:tbl>
    <w:p w:rsidR="00772E45" w:rsidRDefault="00772E45" w:rsidP="00772E45">
      <w:pPr>
        <w:tabs>
          <w:tab w:val="left" w:pos="-720"/>
        </w:tabs>
        <w:suppressAutoHyphens/>
      </w:pPr>
      <w:r>
        <w:t>*Medicare Part B reimbursed to age 70; beyond age 70, only Medicare Supplement benefits under the indemnity plan are provided.</w:t>
      </w:r>
    </w:p>
    <w:p w:rsidR="00772E45" w:rsidRDefault="00772E45" w:rsidP="00772E45">
      <w:pPr>
        <w:tabs>
          <w:tab w:val="left" w:pos="-720"/>
        </w:tabs>
        <w:suppressAutoHyphens/>
      </w:pPr>
      <w:r>
        <w:t>**The District pays 100% of the cost in excess of a retiree contribution for the indemnity plan of ½% of the retiree’s salary prior to retirement plus $500 per year for dependent coverage</w:t>
      </w:r>
    </w:p>
    <w:p w:rsidR="00772E45" w:rsidRDefault="00772E45" w:rsidP="00772E45">
      <w:pPr>
        <w:tabs>
          <w:tab w:val="left" w:pos="-720"/>
        </w:tabs>
        <w:suppressAutoHyphens/>
      </w:pPr>
      <w:r>
        <w:t>***Retirees with HMO coverage are not eligible for District-paid benefits beyond age 70.</w:t>
      </w:r>
    </w:p>
    <w:p w:rsidR="00772E45" w:rsidRDefault="00772E45" w:rsidP="00772E45">
      <w:pPr>
        <w:tabs>
          <w:tab w:val="left" w:pos="-720"/>
        </w:tabs>
        <w:suppressAutoHyphens/>
      </w:pPr>
      <w:r>
        <w:t>****The cap amount depends on the retirement date. The above cap reflects future retirees.</w:t>
      </w:r>
    </w:p>
    <w:p w:rsidR="00EB26F9" w:rsidRDefault="00EB26F9" w:rsidP="00772E45">
      <w:pPr>
        <w:tabs>
          <w:tab w:val="left" w:pos="-720"/>
        </w:tabs>
        <w:suppressAutoHyphens/>
      </w:pPr>
    </w:p>
    <w:p w:rsidR="00EB26F9" w:rsidRDefault="00EB26F9">
      <w:pPr>
        <w:pStyle w:val="Heading2"/>
        <w:rPr>
          <w:rFonts w:ascii="Times New Roman" w:hAnsi="Times New Roman"/>
          <w:i w:val="0"/>
          <w:sz w:val="22"/>
          <w:u w:val="single"/>
        </w:rPr>
      </w:pPr>
      <w:bookmarkStart w:id="4" w:name="_Toc327518672"/>
      <w:r>
        <w:rPr>
          <w:rFonts w:ascii="Times New Roman" w:hAnsi="Times New Roman"/>
          <w:i w:val="0"/>
          <w:sz w:val="22"/>
          <w:u w:val="single"/>
        </w:rPr>
        <w:t>D.  Recommendations</w:t>
      </w:r>
      <w:bookmarkEnd w:id="4"/>
    </w:p>
    <w:p w:rsidR="00EB26F9" w:rsidRDefault="00EB26F9">
      <w:pPr>
        <w:tabs>
          <w:tab w:val="left" w:pos="-720"/>
        </w:tabs>
        <w:suppressAutoHyphens/>
      </w:pPr>
    </w:p>
    <w:p w:rsidR="00EB26F9" w:rsidRDefault="00EB26F9">
      <w:pPr>
        <w:tabs>
          <w:tab w:val="left" w:pos="-720"/>
        </w:tabs>
        <w:suppressAutoHyphens/>
      </w:pPr>
      <w:r>
        <w:tab/>
        <w:t xml:space="preserve">It is outside the scope of this report to make specific recommendations of actions </w:t>
      </w:r>
      <w:r>
        <w:rPr>
          <w:noProof/>
        </w:rPr>
        <w:t>Coast CCD</w:t>
      </w:r>
      <w:r>
        <w:t xml:space="preserve"> should take to manage the substantial liability created by the current retiree health program. Total Compensation Systems, Inc. can assist in identifying and evaluating options once this report has been studied. The following recommendations are intended only to allow the </w:t>
      </w:r>
      <w:r>
        <w:rPr>
          <w:noProof/>
        </w:rPr>
        <w:t>College</w:t>
      </w:r>
      <w:r>
        <w:t xml:space="preserve"> to get more information from this and future studies. Because we have not conducted a comprehensive administrative audit of </w:t>
      </w:r>
      <w:r>
        <w:rPr>
          <w:noProof/>
        </w:rPr>
        <w:t>Coast CCD</w:t>
      </w:r>
      <w:r>
        <w:t xml:space="preserve">’s practices, it is possible that </w:t>
      </w:r>
      <w:r>
        <w:rPr>
          <w:noProof/>
        </w:rPr>
        <w:t>Coast CCD</w:t>
      </w:r>
      <w:r>
        <w:t xml:space="preserve"> is already complying with some or all of our recommendations.</w:t>
      </w:r>
    </w:p>
    <w:p w:rsidR="00EB26F9" w:rsidRDefault="00EB26F9">
      <w:pPr>
        <w:tabs>
          <w:tab w:val="left" w:pos="-720"/>
        </w:tabs>
        <w:suppressAutoHyphens/>
      </w:pPr>
    </w:p>
    <w:p w:rsidR="00EB26F9" w:rsidRDefault="00EB26F9">
      <w:pPr>
        <w:tabs>
          <w:tab w:val="left" w:pos="-720"/>
        </w:tabs>
        <w:suppressAutoHyphens/>
        <w:ind w:left="1440" w:hanging="1440"/>
      </w:pPr>
      <w:r>
        <w:tab/>
      </w:r>
      <w:r>
        <w:sym w:font="Wingdings" w:char="F0D8"/>
      </w:r>
      <w:r>
        <w:tab/>
        <w:t xml:space="preserve">We recommend that </w:t>
      </w:r>
      <w:r>
        <w:rPr>
          <w:noProof/>
        </w:rPr>
        <w:t>Coast CCD</w:t>
      </w:r>
      <w:r>
        <w:t xml:space="preserve"> inventory all benefits and services provided to retirees – whether contractually or not and whether retiree-paid or not. For each, </w:t>
      </w:r>
      <w:r>
        <w:rPr>
          <w:noProof/>
        </w:rPr>
        <w:t>Coast CCD</w:t>
      </w:r>
      <w:r>
        <w:t xml:space="preserve"> should determine whether the benefit is material and subject to GASB 43 and/or 45.</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r>
      <w:r>
        <w:sym w:font="Wingdings" w:char="F0D8"/>
      </w:r>
      <w:r>
        <w:tab/>
        <w:t xml:space="preserve">We recommend that </w:t>
      </w:r>
      <w:r>
        <w:rPr>
          <w:noProof/>
        </w:rPr>
        <w:t>Coast CCD</w:t>
      </w:r>
      <w:r>
        <w:t xml:space="preserve"> conduct a study whenever events or contemplated actions significantly affect present or future liabilities, but no </w:t>
      </w:r>
      <w:r>
        <w:rPr>
          <w:u w:val="single"/>
        </w:rPr>
        <w:t>less</w:t>
      </w:r>
      <w:r>
        <w:t xml:space="preserve"> frequently than every two or three years, as required under GASB 43/45. </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r>
      <w:r>
        <w:sym w:font="Wingdings" w:char="F0D8"/>
      </w:r>
      <w:r>
        <w:tab/>
        <w:t xml:space="preserve">We recommend that the </w:t>
      </w:r>
      <w:r>
        <w:rPr>
          <w:noProof/>
        </w:rPr>
        <w:t>College</w:t>
      </w:r>
      <w:r>
        <w:t xml:space="preserve"> communicate the magnitude of these costs to employees and include employees in discussions of options to control the costs.</w:t>
      </w:r>
    </w:p>
    <w:p w:rsidR="00EB26F9" w:rsidRDefault="00EB26F9">
      <w:pPr>
        <w:tabs>
          <w:tab w:val="left" w:pos="-720"/>
        </w:tabs>
        <w:suppressAutoHyphens/>
      </w:pPr>
    </w:p>
    <w:p w:rsidR="00EB26F9" w:rsidRDefault="00EB26F9">
      <w:pPr>
        <w:numPr>
          <w:ilvl w:val="0"/>
          <w:numId w:val="3"/>
        </w:numPr>
        <w:tabs>
          <w:tab w:val="left" w:pos="-720"/>
        </w:tabs>
        <w:suppressAutoHyphens/>
      </w:pPr>
      <w:r>
        <w:t xml:space="preserve">Under GASB 45, it is important to isolate the cost of retiree health benefits. </w:t>
      </w:r>
      <w:r>
        <w:rPr>
          <w:noProof/>
        </w:rPr>
        <w:t>Coast CCD</w:t>
      </w:r>
      <w:r>
        <w:t xml:space="preserve"> should have all premiums, claims and expenses for retirees separated from active employee premiums, claims, expenses, etc. To the extent any retiree benefits are made available to retirees over the age of 65 – </w:t>
      </w:r>
      <w:r>
        <w:rPr>
          <w:b/>
          <w:i/>
        </w:rPr>
        <w:t>even on a retiree-pay-all basis</w:t>
      </w:r>
      <w:r>
        <w:t xml:space="preserve"> – all premiums, claims and expenses for post-65 retiree coverage should be segregated from those for pre-65 coverage. Furthermore, </w:t>
      </w:r>
      <w:r>
        <w:rPr>
          <w:noProof/>
        </w:rPr>
        <w:t>Coast CCD</w:t>
      </w:r>
      <w:r>
        <w:t xml:space="preserve"> should arrange for the rates or prices of all retiree benefits to be set on what is expected to be a self-sustaining basis.</w:t>
      </w:r>
      <w:r>
        <w:br/>
      </w:r>
    </w:p>
    <w:p w:rsidR="00EB26F9" w:rsidRDefault="00EB26F9">
      <w:pPr>
        <w:numPr>
          <w:ilvl w:val="0"/>
          <w:numId w:val="3"/>
        </w:numPr>
        <w:tabs>
          <w:tab w:val="left" w:pos="-720"/>
        </w:tabs>
        <w:suppressAutoHyphens/>
      </w:pPr>
      <w:r>
        <w:rPr>
          <w:noProof/>
        </w:rPr>
        <w:t>Coast CCD</w:t>
      </w:r>
      <w:r>
        <w:t xml:space="preserve"> should establish a way of designating employees as eligible or ineligible for future OPEB benefits. Ineligible employees can include those in ineligible job classes; those hired after a designated date restricting eligibility; those who, due to their age at hire cannot qualify for </w:t>
      </w:r>
      <w:r>
        <w:rPr>
          <w:noProof/>
        </w:rPr>
        <w:t>College</w:t>
      </w:r>
      <w:r>
        <w:t>-paid OPEB benefits; employees who exceed the termination age for OPEB benefits, etc.</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lastRenderedPageBreak/>
        <w:tab/>
      </w:r>
      <w:r>
        <w:sym w:font="Wingdings" w:char="F0D8"/>
      </w:r>
      <w:r>
        <w:tab/>
        <w:t xml:space="preserve">Several assumptions were made in estimating costs and liabilities under </w:t>
      </w:r>
      <w:r>
        <w:rPr>
          <w:noProof/>
        </w:rPr>
        <w:t>Coast CCD</w:t>
      </w:r>
      <w:r>
        <w:t xml:space="preserve">'s retiree health program.  Further studies may be desired to validate any assumptions where there is any doubt that the assumption is appropriate.  (See Appendices B and C for a list of assumptions and concerns.) For example, </w:t>
      </w:r>
      <w:r>
        <w:rPr>
          <w:noProof/>
        </w:rPr>
        <w:t>Coast CCD</w:t>
      </w:r>
      <w:r>
        <w:t xml:space="preserve"> should maintain a retiree database that includes – in addition to date of birth, gender and employee classification – retirement date and (if applicable) dependent date of birth, relationship and gender. It will also be helpful for </w:t>
      </w:r>
      <w:r>
        <w:rPr>
          <w:noProof/>
        </w:rPr>
        <w:t>Coast CCD</w:t>
      </w:r>
      <w:r>
        <w:t xml:space="preserve"> to maintain employment termination information – namely, the number of OPEB-eligible employees in each employee class that terminate employment each year for reasons other than death, disability or retirement.</w:t>
      </w:r>
    </w:p>
    <w:p w:rsidR="00EB26F9" w:rsidRDefault="00EB26F9">
      <w:pPr>
        <w:tabs>
          <w:tab w:val="left" w:pos="-720"/>
        </w:tabs>
        <w:suppressAutoHyphens/>
      </w:pPr>
    </w:p>
    <w:p w:rsidR="00EB26F9" w:rsidRDefault="00EB26F9">
      <w:pPr>
        <w:tabs>
          <w:tab w:val="left" w:pos="-720"/>
        </w:tabs>
        <w:suppressAutoHyphens/>
      </w:pPr>
      <w:r>
        <w:t>Respectfully submitted,</w:t>
      </w:r>
    </w:p>
    <w:p w:rsidR="00EB26F9" w:rsidRDefault="00EB26F9">
      <w:pPr>
        <w:tabs>
          <w:tab w:val="left" w:pos="-720"/>
        </w:tabs>
        <w:suppressAutoHyphens/>
      </w:pPr>
    </w:p>
    <w:p w:rsidR="00EB26F9" w:rsidRDefault="00EB26F9">
      <w:pPr>
        <w:tabs>
          <w:tab w:val="left" w:pos="-720"/>
        </w:tabs>
        <w:suppressAutoHyphens/>
      </w:pPr>
    </w:p>
    <w:p w:rsidR="00EB26F9" w:rsidRDefault="00EB26F9" w:rsidP="006763C7">
      <w:r>
        <w:t xml:space="preserve">Geoffrey L. </w:t>
      </w:r>
      <w:proofErr w:type="spellStart"/>
      <w:r>
        <w:t>Kischuk</w:t>
      </w:r>
      <w:proofErr w:type="spellEnd"/>
      <w:r>
        <w:t>, FSA, MAAA, FCA</w:t>
      </w:r>
    </w:p>
    <w:p w:rsidR="00EB26F9" w:rsidRDefault="00EB26F9">
      <w:pPr>
        <w:tabs>
          <w:tab w:val="left" w:pos="-720"/>
        </w:tabs>
        <w:suppressAutoHyphens/>
      </w:pPr>
      <w:r>
        <w:t>Consultant</w:t>
      </w:r>
    </w:p>
    <w:p w:rsidR="00EB26F9" w:rsidRDefault="00EB26F9">
      <w:pPr>
        <w:tabs>
          <w:tab w:val="left" w:pos="-720"/>
        </w:tabs>
        <w:suppressAutoHyphens/>
      </w:pPr>
      <w:r>
        <w:t>Total Compensation Systems, Inc.</w:t>
      </w:r>
    </w:p>
    <w:p w:rsidR="00EB26F9" w:rsidRDefault="00EB26F9">
      <w:pPr>
        <w:tabs>
          <w:tab w:val="left" w:pos="-720"/>
        </w:tabs>
        <w:suppressAutoHyphens/>
      </w:pPr>
      <w:r>
        <w:t>(805) 496-1700</w:t>
      </w:r>
    </w:p>
    <w:p w:rsidR="00EB26F9" w:rsidRDefault="00EB26F9">
      <w:pPr>
        <w:pStyle w:val="Heading1"/>
      </w:pPr>
      <w:r>
        <w:br w:type="page"/>
      </w:r>
      <w:r>
        <w:lastRenderedPageBreak/>
        <w:tab/>
      </w:r>
      <w:bookmarkStart w:id="5" w:name="_Toc327518673"/>
      <w:r>
        <w:rPr>
          <w:rFonts w:ascii="Times New Roman" w:hAnsi="Times New Roman"/>
          <w:sz w:val="22"/>
        </w:rPr>
        <w:t>PART II:  BACKGROUND</w:t>
      </w:r>
      <w:bookmarkEnd w:id="5"/>
    </w:p>
    <w:p w:rsidR="00EB26F9" w:rsidRDefault="00EB26F9">
      <w:pPr>
        <w:pStyle w:val="Heading2"/>
        <w:rPr>
          <w:rFonts w:ascii="Times New Roman" w:hAnsi="Times New Roman"/>
          <w:i w:val="0"/>
          <w:sz w:val="22"/>
          <w:u w:val="single"/>
        </w:rPr>
      </w:pPr>
      <w:bookmarkStart w:id="6" w:name="_Toc327518674"/>
      <w:r>
        <w:rPr>
          <w:rFonts w:ascii="Times New Roman" w:hAnsi="Times New Roman"/>
          <w:i w:val="0"/>
          <w:sz w:val="22"/>
          <w:u w:val="single"/>
        </w:rPr>
        <w:t>A.  Summary</w:t>
      </w:r>
      <w:bookmarkEnd w:id="6"/>
    </w:p>
    <w:p w:rsidR="00EB26F9" w:rsidRDefault="00EB26F9">
      <w:pPr>
        <w:tabs>
          <w:tab w:val="left" w:pos="-720"/>
        </w:tabs>
        <w:suppressAutoHyphens/>
      </w:pPr>
    </w:p>
    <w:p w:rsidR="00EB26F9" w:rsidRDefault="00EB26F9">
      <w:pPr>
        <w:tabs>
          <w:tab w:val="left" w:pos="-720"/>
        </w:tabs>
        <w:suppressAutoHyphens/>
      </w:pPr>
      <w:r>
        <w:tab/>
        <w:t>Accounting principles provide that the cost of retiree benefits should be “accrued” over employees' working lifetime. For this reason, the Governmental Accounting Standards Board (GASB) issued in 2004 Accounting Standards 43 and 45 for retiree health benefits. These standards apply to all public employers that pay any part of the cost of retiree health benefits for current or future retirees (including early retirees).</w:t>
      </w:r>
    </w:p>
    <w:p w:rsidR="00EB26F9" w:rsidRDefault="00EB26F9">
      <w:pPr>
        <w:pStyle w:val="Heading2"/>
        <w:rPr>
          <w:rFonts w:ascii="Times New Roman" w:hAnsi="Times New Roman"/>
          <w:i w:val="0"/>
          <w:sz w:val="22"/>
          <w:u w:val="single"/>
        </w:rPr>
      </w:pPr>
      <w:bookmarkStart w:id="7" w:name="_Toc327518675"/>
      <w:r>
        <w:rPr>
          <w:rFonts w:ascii="Times New Roman" w:hAnsi="Times New Roman"/>
          <w:i w:val="0"/>
          <w:sz w:val="22"/>
          <w:u w:val="single"/>
        </w:rPr>
        <w:t>B.  Actuarial Accrual</w:t>
      </w:r>
      <w:bookmarkEnd w:id="7"/>
    </w:p>
    <w:p w:rsidR="00EB26F9" w:rsidRDefault="00EB26F9">
      <w:pPr>
        <w:tabs>
          <w:tab w:val="left" w:pos="-720"/>
        </w:tabs>
        <w:suppressAutoHyphens/>
      </w:pPr>
    </w:p>
    <w:p w:rsidR="00EB26F9" w:rsidRDefault="00EB26F9">
      <w:pPr>
        <w:tabs>
          <w:tab w:val="left" w:pos="-720"/>
        </w:tabs>
        <w:suppressAutoHyphens/>
      </w:pPr>
      <w:r>
        <w:tab/>
        <w:t>To actuarially accrue retiree health benefits requires determining the amount to expense each year so that the liability accumulated at retirement is, on average, sufficient (with interest) to cover all retiree health expenditures without the need for additional expenses. There are many different ways to determine the annual accrual amount. The calculation method used is called an “actuarial cost method.”</w:t>
      </w:r>
    </w:p>
    <w:p w:rsidR="00EB26F9" w:rsidRDefault="00EB26F9">
      <w:pPr>
        <w:tabs>
          <w:tab w:val="left" w:pos="-720"/>
        </w:tabs>
        <w:suppressAutoHyphens/>
      </w:pPr>
    </w:p>
    <w:p w:rsidR="00EB26F9" w:rsidRDefault="00EB26F9">
      <w:pPr>
        <w:tabs>
          <w:tab w:val="left" w:pos="-720"/>
        </w:tabs>
        <w:suppressAutoHyphens/>
      </w:pPr>
      <w:r>
        <w:tab/>
        <w:t>Under most actuarial cost methods, there are two components of actuarial cost - a “normal cost” and amortization of something called the “unfunded actuarial accrued liability.” Both accounting standards and actuarial standards usually address these two components separately (though alternative terminology is sometimes used).</w:t>
      </w:r>
    </w:p>
    <w:p w:rsidR="00EB26F9" w:rsidRDefault="00EB26F9">
      <w:pPr>
        <w:tabs>
          <w:tab w:val="left" w:pos="-720"/>
        </w:tabs>
        <w:suppressAutoHyphens/>
      </w:pPr>
    </w:p>
    <w:p w:rsidR="00EB26F9" w:rsidRDefault="00EB26F9">
      <w:pPr>
        <w:tabs>
          <w:tab w:val="left" w:pos="-720"/>
        </w:tabs>
        <w:suppressAutoHyphens/>
      </w:pPr>
      <w:r>
        <w:tab/>
        <w:t>The normal cost can be thought of as the value of the benefit earned each year if benefits are accrued during the working lifetime of employees. This report will not discuss differences between actuarial cost methods or their application. Instead, following is a description of a commonly used, generally accepted actuarial cost method that will be permitted under GASB 43 and 45. This actuarial cost method is called the “entry age normal” method.</w:t>
      </w:r>
    </w:p>
    <w:p w:rsidR="00EB26F9" w:rsidRDefault="00EB26F9">
      <w:pPr>
        <w:tabs>
          <w:tab w:val="left" w:pos="-720"/>
        </w:tabs>
        <w:suppressAutoHyphens/>
      </w:pPr>
    </w:p>
    <w:p w:rsidR="00EB26F9" w:rsidRDefault="00EB26F9">
      <w:pPr>
        <w:tabs>
          <w:tab w:val="left" w:pos="-720"/>
        </w:tabs>
        <w:suppressAutoHyphens/>
      </w:pPr>
      <w:r>
        <w:tab/>
        <w:t>Under the entry age normal cost method, the actuary determines the annual amount needing to be expensed  from hire until retirement to fully accrue the cost of retiree health benefits. This amount is the normal cost. Under GASB 43 and 45, normal cost can be expressed either as a level dollar amount or a level percentage of payroll.</w:t>
      </w:r>
    </w:p>
    <w:p w:rsidR="00EB26F9" w:rsidRDefault="00EB26F9">
      <w:pPr>
        <w:tabs>
          <w:tab w:val="left" w:pos="-720"/>
        </w:tabs>
        <w:suppressAutoHyphens/>
      </w:pPr>
    </w:p>
    <w:p w:rsidR="00EB26F9" w:rsidRDefault="00EB26F9">
      <w:pPr>
        <w:tabs>
          <w:tab w:val="left" w:pos="-720"/>
        </w:tabs>
        <w:suppressAutoHyphens/>
      </w:pPr>
      <w:r>
        <w:tab/>
        <w:t>The normal cost is determined using several key assumptions:</w:t>
      </w:r>
    </w:p>
    <w:p w:rsidR="00EB26F9" w:rsidRDefault="00EB26F9">
      <w:pPr>
        <w:tabs>
          <w:tab w:val="left" w:pos="-720"/>
        </w:tabs>
        <w:suppressAutoHyphens/>
      </w:pPr>
    </w:p>
    <w:p w:rsidR="00EB26F9" w:rsidRDefault="00EB26F9">
      <w:pPr>
        <w:tabs>
          <w:tab w:val="left" w:pos="-720"/>
          <w:tab w:val="left" w:pos="0"/>
          <w:tab w:val="left" w:pos="720"/>
        </w:tabs>
        <w:suppressAutoHyphens/>
        <w:ind w:left="1440" w:hanging="1440"/>
      </w:pPr>
      <w:r>
        <w:tab/>
      </w:r>
      <w:r>
        <w:sym w:font="Wingdings" w:char="F0D8"/>
      </w:r>
      <w:r>
        <w:tab/>
        <w:t xml:space="preserve">The current </w:t>
      </w:r>
      <w:r>
        <w:rPr>
          <w:b/>
          <w:i/>
        </w:rPr>
        <w:t>cost of retiree health benefits</w:t>
      </w:r>
      <w:r>
        <w:t xml:space="preserve"> (often varying by age, Medicare status and/or dependent coverage). The higher the current cost of retiree benefits, the higher the normal cost.</w:t>
      </w:r>
    </w:p>
    <w:p w:rsidR="00EB26F9" w:rsidRDefault="00EB26F9">
      <w:pPr>
        <w:tabs>
          <w:tab w:val="left" w:pos="-720"/>
        </w:tabs>
        <w:suppressAutoHyphens/>
      </w:pPr>
    </w:p>
    <w:p w:rsidR="00EB26F9" w:rsidRDefault="00EB26F9">
      <w:pPr>
        <w:tabs>
          <w:tab w:val="left" w:pos="-720"/>
          <w:tab w:val="left" w:pos="0"/>
          <w:tab w:val="left" w:pos="720"/>
        </w:tabs>
        <w:suppressAutoHyphens/>
        <w:ind w:left="1440" w:hanging="1440"/>
      </w:pPr>
      <w:r>
        <w:tab/>
      </w:r>
      <w:r>
        <w:sym w:font="Wingdings" w:char="F0D8"/>
      </w:r>
      <w:r>
        <w:tab/>
        <w:t xml:space="preserve">The </w:t>
      </w:r>
      <w:r>
        <w:rPr>
          <w:b/>
          <w:i/>
        </w:rPr>
        <w:t>“trend” rate</w:t>
      </w:r>
      <w:r>
        <w:t xml:space="preserve"> at which retiree health benefits are expected to increase over time. A higher trend rate increases the normal cost.  A “cap” on </w:t>
      </w:r>
      <w:r>
        <w:rPr>
          <w:noProof/>
        </w:rPr>
        <w:t>College</w:t>
      </w:r>
      <w:r>
        <w:t xml:space="preserve"> contributions can reduce trend to zero once the cap is reached thereby dramatically reducing normal costs.</w:t>
      </w:r>
    </w:p>
    <w:p w:rsidR="00EB26F9" w:rsidRDefault="00EB26F9">
      <w:pPr>
        <w:tabs>
          <w:tab w:val="left" w:pos="-720"/>
        </w:tabs>
        <w:suppressAutoHyphens/>
      </w:pPr>
    </w:p>
    <w:p w:rsidR="00EB26F9" w:rsidRDefault="00EB26F9">
      <w:pPr>
        <w:tabs>
          <w:tab w:val="left" w:pos="-720"/>
          <w:tab w:val="left" w:pos="0"/>
          <w:tab w:val="left" w:pos="720"/>
        </w:tabs>
        <w:suppressAutoHyphens/>
        <w:ind w:left="1440" w:hanging="1440"/>
      </w:pPr>
      <w:r>
        <w:tab/>
      </w:r>
      <w:r>
        <w:sym w:font="Wingdings" w:char="F0D8"/>
      </w:r>
      <w:r>
        <w:tab/>
      </w:r>
      <w:r>
        <w:rPr>
          <w:b/>
          <w:i/>
        </w:rPr>
        <w:t>Mortality rates</w:t>
      </w:r>
      <w:r>
        <w:t xml:space="preserve"> varying by age and sex. (Unisex mortality rates are not often used as individual OPEB benefits do not depend on the mortality table used.) If employees die prior to retirement, past contributions are available to fund benefits for employees who live to retirement. After retirement, death results in benefit termination or reduction. Although higher mortality rates reduce normal costs, the mortality assumption is not likely to vary from employer to employer.</w:t>
      </w:r>
    </w:p>
    <w:p w:rsidR="00EB26F9" w:rsidRDefault="00EB26F9">
      <w:pPr>
        <w:tabs>
          <w:tab w:val="left" w:pos="-720"/>
        </w:tabs>
        <w:suppressAutoHyphens/>
      </w:pPr>
    </w:p>
    <w:p w:rsidR="00EB26F9" w:rsidRDefault="00EB26F9">
      <w:pPr>
        <w:tabs>
          <w:tab w:val="left" w:pos="-720"/>
          <w:tab w:val="left" w:pos="0"/>
          <w:tab w:val="left" w:pos="720"/>
        </w:tabs>
        <w:suppressAutoHyphens/>
        <w:ind w:left="1440" w:hanging="1440"/>
      </w:pPr>
      <w:r>
        <w:tab/>
      </w:r>
      <w:r>
        <w:sym w:font="Wingdings" w:char="F0D8"/>
      </w:r>
      <w:r>
        <w:tab/>
      </w:r>
      <w:r>
        <w:rPr>
          <w:b/>
          <w:i/>
        </w:rPr>
        <w:t>Employment termination rates</w:t>
      </w:r>
      <w:r>
        <w:t xml:space="preserve"> have the same effect as mortality inasmuch as higher termination rates reduce normal costs. Employment termination can vary considerably between public agencies.</w:t>
      </w:r>
    </w:p>
    <w:p w:rsidR="00EB26F9" w:rsidRDefault="00EB26F9">
      <w:pPr>
        <w:tabs>
          <w:tab w:val="left" w:pos="-720"/>
        </w:tabs>
        <w:suppressAutoHyphens/>
      </w:pPr>
    </w:p>
    <w:p w:rsidR="00EB26F9" w:rsidRDefault="00EB26F9">
      <w:pPr>
        <w:tabs>
          <w:tab w:val="left" w:pos="-720"/>
          <w:tab w:val="left" w:pos="0"/>
          <w:tab w:val="left" w:pos="720"/>
        </w:tabs>
        <w:suppressAutoHyphens/>
        <w:ind w:left="1440" w:hanging="1440"/>
      </w:pPr>
      <w:r>
        <w:tab/>
      </w:r>
      <w:r>
        <w:sym w:font="Wingdings" w:char="F0D8"/>
      </w:r>
      <w:r>
        <w:tab/>
        <w:t xml:space="preserve">The </w:t>
      </w:r>
      <w:r w:rsidRPr="00321B22">
        <w:rPr>
          <w:b/>
          <w:i/>
        </w:rPr>
        <w:t>service requirement</w:t>
      </w:r>
      <w:r>
        <w:t xml:space="preserve"> reflects years of service required to earn full or partial retiree benefits.  While a longer service requirement reduces costs, cost reductions are not usually substantial unless </w:t>
      </w:r>
      <w:r>
        <w:lastRenderedPageBreak/>
        <w:t>the service period exceeds 20 years of service.</w:t>
      </w:r>
    </w:p>
    <w:p w:rsidR="00EB26F9" w:rsidRDefault="00EB26F9">
      <w:pPr>
        <w:tabs>
          <w:tab w:val="left" w:pos="-720"/>
        </w:tabs>
        <w:suppressAutoHyphens/>
      </w:pPr>
    </w:p>
    <w:p w:rsidR="00EB26F9" w:rsidRDefault="00EB26F9">
      <w:pPr>
        <w:tabs>
          <w:tab w:val="left" w:pos="-720"/>
          <w:tab w:val="left" w:pos="0"/>
          <w:tab w:val="left" w:pos="720"/>
        </w:tabs>
        <w:suppressAutoHyphens/>
        <w:ind w:left="1440" w:hanging="1440"/>
      </w:pPr>
      <w:r>
        <w:tab/>
      </w:r>
      <w:r>
        <w:sym w:font="Wingdings" w:char="F0D8"/>
      </w:r>
      <w:r>
        <w:tab/>
      </w:r>
      <w:r>
        <w:rPr>
          <w:b/>
          <w:i/>
        </w:rPr>
        <w:t>Retirement rates</w:t>
      </w:r>
      <w:r>
        <w:t xml:space="preserve"> determine what proportion of employees retire at each age (assuming employees reach the requisite length of service). Retirement rates often vary by employee classification and implicitly reflect the minimum retirement age required for eligibility. Retirement rates also depend on the amount of pension benefits available. Higher retirement rates increase normal costs but, except for differences in minimum retirement age, retirement rates tend to be consistent between </w:t>
      </w:r>
      <w:r>
        <w:rPr>
          <w:noProof/>
        </w:rPr>
        <w:t>public agencies</w:t>
      </w:r>
      <w:r>
        <w:t xml:space="preserve"> for each employee type.</w:t>
      </w:r>
    </w:p>
    <w:p w:rsidR="00EB26F9" w:rsidRDefault="00EB26F9">
      <w:pPr>
        <w:tabs>
          <w:tab w:val="left" w:pos="-720"/>
        </w:tabs>
        <w:suppressAutoHyphens/>
      </w:pPr>
    </w:p>
    <w:p w:rsidR="00EB26F9" w:rsidRDefault="00EB26F9">
      <w:pPr>
        <w:tabs>
          <w:tab w:val="left" w:pos="-720"/>
          <w:tab w:val="left" w:pos="0"/>
          <w:tab w:val="left" w:pos="720"/>
        </w:tabs>
        <w:suppressAutoHyphens/>
        <w:ind w:left="1440" w:hanging="1440"/>
      </w:pPr>
      <w:r>
        <w:tab/>
      </w:r>
      <w:r>
        <w:sym w:font="Wingdings" w:char="F0D8"/>
      </w:r>
      <w:r>
        <w:tab/>
      </w:r>
      <w:r>
        <w:rPr>
          <w:b/>
          <w:i/>
        </w:rPr>
        <w:t>Participation rates</w:t>
      </w:r>
      <w:r>
        <w:t xml:space="preserve"> indicate what proportion of retirees are expected to elect retiree health benefits if a significant retiree contribution is required. Higher participation rates increase costs.</w:t>
      </w:r>
    </w:p>
    <w:p w:rsidR="00EB26F9" w:rsidRDefault="00EB26F9">
      <w:pPr>
        <w:tabs>
          <w:tab w:val="left" w:pos="-720"/>
        </w:tabs>
        <w:suppressAutoHyphens/>
      </w:pPr>
    </w:p>
    <w:p w:rsidR="00EB26F9" w:rsidRDefault="00EB26F9">
      <w:pPr>
        <w:tabs>
          <w:tab w:val="left" w:pos="-720"/>
          <w:tab w:val="left" w:pos="0"/>
          <w:tab w:val="left" w:pos="720"/>
        </w:tabs>
        <w:suppressAutoHyphens/>
        <w:ind w:left="1440" w:hanging="1440"/>
      </w:pPr>
      <w:r>
        <w:tab/>
      </w:r>
      <w:r>
        <w:sym w:font="Wingdings" w:char="F0D8"/>
      </w:r>
      <w:r>
        <w:tab/>
        <w:t xml:space="preserve">The </w:t>
      </w:r>
      <w:r>
        <w:rPr>
          <w:b/>
          <w:i/>
        </w:rPr>
        <w:t>discount rate</w:t>
      </w:r>
      <w:r>
        <w:t xml:space="preserve"> estimates investment earnings for assets earmarked to cover retiree health benefit liabilities. The discount rate depends on the nature of underlying assets. For example, employer funds earning money market rates in the county treasury are likely to earn far less than an irrevocable trust containing a diversified asset portfolio including stocks, bonds, etc. A higher discount rate can dramatically lower normal costs. GASB 43 and 45 require the interest assumption to reflect likely </w:t>
      </w:r>
      <w:r>
        <w:rPr>
          <w:i/>
        </w:rPr>
        <w:t>long term</w:t>
      </w:r>
      <w:r>
        <w:t xml:space="preserve"> investment return.</w:t>
      </w:r>
    </w:p>
    <w:p w:rsidR="00EB26F9" w:rsidRDefault="00EB26F9">
      <w:pPr>
        <w:tabs>
          <w:tab w:val="left" w:pos="-720"/>
        </w:tabs>
        <w:suppressAutoHyphens/>
      </w:pPr>
    </w:p>
    <w:p w:rsidR="00EB26F9" w:rsidRDefault="00EB26F9">
      <w:pPr>
        <w:tabs>
          <w:tab w:val="left" w:pos="-720"/>
        </w:tabs>
        <w:suppressAutoHyphens/>
      </w:pPr>
      <w:r>
        <w:tab/>
        <w:t>The assumptions listed above are not exhaustive, but are the most common assumptions used in actuarial cost calculations. The actuary selects the assumptions which - taken together - will yield reasonable results. It's not necessary (or even possible) to predict individual assumptions with complete accuracy.</w:t>
      </w:r>
    </w:p>
    <w:p w:rsidR="00EB26F9" w:rsidRDefault="00EB26F9">
      <w:pPr>
        <w:tabs>
          <w:tab w:val="left" w:pos="-720"/>
        </w:tabs>
        <w:suppressAutoHyphens/>
      </w:pPr>
    </w:p>
    <w:p w:rsidR="00EB26F9" w:rsidRDefault="00EB26F9">
      <w:pPr>
        <w:tabs>
          <w:tab w:val="left" w:pos="-720"/>
        </w:tabs>
        <w:suppressAutoHyphens/>
      </w:pPr>
      <w:r>
        <w:tab/>
        <w:t xml:space="preserve">If all actuarial assumptions are exactly met and an employer expensed the normal cost every year for all past and current employees and retirees, a sizeable liability would have accumulated (after adding interest and subtracting retiree benefit costs). The liability that </w:t>
      </w:r>
      <w:r>
        <w:rPr>
          <w:u w:val="single"/>
        </w:rPr>
        <w:t>would have</w:t>
      </w:r>
      <w:r>
        <w:t xml:space="preserve"> accumulated is called the actuarial accrued liability or AAL. The excess of  AAL over the </w:t>
      </w:r>
      <w:r w:rsidRPr="004A1201">
        <w:rPr>
          <w:b/>
          <w:i/>
        </w:rPr>
        <w:t>actuarial value of plan assets</w:t>
      </w:r>
      <w:r>
        <w:t xml:space="preserve"> is called the </w:t>
      </w:r>
      <w:r>
        <w:rPr>
          <w:i/>
        </w:rPr>
        <w:t>unfunded</w:t>
      </w:r>
      <w:r>
        <w:t xml:space="preserve"> actuarial accrued liability (or UAAL). Under GASB 43 and 45, in order for assets to count toward offsetting the AAL, the assets have to be held in an irrevocable trust that is safe from creditors and can only be used to provide OPEB benefits to eligible participants.</w:t>
      </w:r>
    </w:p>
    <w:p w:rsidR="00EB26F9" w:rsidRDefault="00EB26F9">
      <w:pPr>
        <w:tabs>
          <w:tab w:val="left" w:pos="-720"/>
        </w:tabs>
        <w:suppressAutoHyphens/>
      </w:pPr>
    </w:p>
    <w:p w:rsidR="00EB26F9" w:rsidRDefault="00EB26F9">
      <w:pPr>
        <w:tabs>
          <w:tab w:val="left" w:pos="-720"/>
        </w:tabs>
        <w:suppressAutoHyphens/>
      </w:pPr>
      <w:r>
        <w:tab/>
        <w:t>The actuarial accrued liability (AAL) can arise in several ways. At inception of GASB 43 and 45, there is usually a substantial UAAL. Some portion of this amount can be established as the "transition obligation" subject to certain constraints. UAAL can also increase as the result of operation of a retiree health plan - e.g., as a result of plan changes or changes in actuarial assumptions.  Finally, AAL can arise from actuarial gains and losses. Actuarial gains and losses result from differences between actuarial assumptions and actual plan experience.</w:t>
      </w:r>
    </w:p>
    <w:p w:rsidR="00EB26F9" w:rsidRDefault="00EB26F9">
      <w:pPr>
        <w:tabs>
          <w:tab w:val="left" w:pos="-720"/>
        </w:tabs>
        <w:suppressAutoHyphens/>
      </w:pPr>
    </w:p>
    <w:p w:rsidR="00EB26F9" w:rsidRDefault="00EB26F9">
      <w:pPr>
        <w:tabs>
          <w:tab w:val="left" w:pos="-720"/>
        </w:tabs>
        <w:suppressAutoHyphens/>
      </w:pPr>
      <w:r>
        <w:tab/>
        <w:t>Under GASB 43 and 45, employers have several options on how the UAAL can be amortized as follows:</w:t>
      </w:r>
    </w:p>
    <w:p w:rsidR="00EB26F9" w:rsidRDefault="00EB26F9">
      <w:pPr>
        <w:tabs>
          <w:tab w:val="left" w:pos="-720"/>
        </w:tabs>
        <w:suppressAutoHyphens/>
      </w:pPr>
    </w:p>
    <w:p w:rsidR="00EB26F9" w:rsidRDefault="00EB26F9">
      <w:pPr>
        <w:numPr>
          <w:ilvl w:val="0"/>
          <w:numId w:val="4"/>
        </w:numPr>
        <w:tabs>
          <w:tab w:val="clear" w:pos="360"/>
          <w:tab w:val="left" w:pos="-720"/>
          <w:tab w:val="num" w:pos="1080"/>
        </w:tabs>
        <w:suppressAutoHyphens/>
        <w:ind w:left="1080"/>
      </w:pPr>
      <w:r>
        <w:t>The employer can select an amortization period of 1 to 30 years. (For certain situations that result in a reduction of the AAL, the amortization period must be at least 10 years.)</w:t>
      </w:r>
      <w:r>
        <w:br/>
      </w:r>
    </w:p>
    <w:p w:rsidR="00EB26F9" w:rsidRDefault="00EB26F9">
      <w:pPr>
        <w:numPr>
          <w:ilvl w:val="0"/>
          <w:numId w:val="4"/>
        </w:numPr>
        <w:tabs>
          <w:tab w:val="clear" w:pos="360"/>
          <w:tab w:val="left" w:pos="-720"/>
          <w:tab w:val="num" w:pos="1080"/>
        </w:tabs>
        <w:suppressAutoHyphens/>
        <w:ind w:left="1080"/>
      </w:pPr>
      <w:r>
        <w:t>The employer may apply the same amortization period to the total combined UAAL or can apply different periods to different components of the UAAL.</w:t>
      </w:r>
      <w:r>
        <w:br/>
      </w:r>
    </w:p>
    <w:p w:rsidR="00EB26F9" w:rsidRDefault="00EB26F9">
      <w:pPr>
        <w:numPr>
          <w:ilvl w:val="0"/>
          <w:numId w:val="4"/>
        </w:numPr>
        <w:tabs>
          <w:tab w:val="clear" w:pos="360"/>
          <w:tab w:val="left" w:pos="-720"/>
          <w:tab w:val="num" w:pos="1080"/>
        </w:tabs>
        <w:suppressAutoHyphens/>
        <w:ind w:left="1080"/>
      </w:pPr>
      <w:r>
        <w:t>The employer may elect a “closed” or “open” amortization period.</w:t>
      </w:r>
      <w:r>
        <w:br/>
      </w:r>
    </w:p>
    <w:p w:rsidR="00EB26F9" w:rsidRDefault="00EB26F9" w:rsidP="004A1201">
      <w:pPr>
        <w:numPr>
          <w:ilvl w:val="0"/>
          <w:numId w:val="4"/>
        </w:numPr>
        <w:tabs>
          <w:tab w:val="clear" w:pos="360"/>
          <w:tab w:val="left" w:pos="-720"/>
          <w:tab w:val="num" w:pos="1080"/>
        </w:tabs>
        <w:suppressAutoHyphens/>
        <w:ind w:left="1080"/>
      </w:pPr>
      <w:r>
        <w:t>The employer may choose to amortize on a level dollar or level percentage of payroll method.</w:t>
      </w:r>
    </w:p>
    <w:p w:rsidR="00EB26F9" w:rsidRDefault="00EB26F9">
      <w:pPr>
        <w:pStyle w:val="Heading1"/>
        <w:rPr>
          <w:rFonts w:ascii="Times New Roman" w:hAnsi="Times New Roman"/>
          <w:sz w:val="22"/>
        </w:rPr>
      </w:pPr>
      <w:r>
        <w:br w:type="page"/>
      </w:r>
      <w:bookmarkStart w:id="8" w:name="_Toc327518676"/>
      <w:r>
        <w:rPr>
          <w:rFonts w:ascii="Times New Roman" w:hAnsi="Times New Roman"/>
          <w:sz w:val="22"/>
        </w:rPr>
        <w:lastRenderedPageBreak/>
        <w:t>PART III:  LIABILITIES AND COSTS FOR RETIREE BENEFITS</w:t>
      </w:r>
      <w:bookmarkEnd w:id="8"/>
    </w:p>
    <w:p w:rsidR="00EB26F9" w:rsidRDefault="00EB26F9">
      <w:pPr>
        <w:pStyle w:val="Heading2"/>
        <w:rPr>
          <w:rFonts w:ascii="Times New Roman" w:hAnsi="Times New Roman"/>
          <w:sz w:val="22"/>
        </w:rPr>
      </w:pPr>
      <w:bookmarkStart w:id="9" w:name="_Toc327518677"/>
      <w:r>
        <w:rPr>
          <w:rFonts w:ascii="Times New Roman" w:hAnsi="Times New Roman"/>
          <w:i w:val="0"/>
          <w:sz w:val="22"/>
          <w:u w:val="single"/>
        </w:rPr>
        <w:t>A.  Introduction</w:t>
      </w:r>
      <w:r>
        <w:rPr>
          <w:rFonts w:ascii="Times New Roman" w:hAnsi="Times New Roman"/>
          <w:sz w:val="22"/>
        </w:rPr>
        <w:t>.</w:t>
      </w:r>
      <w:bookmarkEnd w:id="9"/>
    </w:p>
    <w:p w:rsidR="00EB26F9" w:rsidRDefault="00EB26F9">
      <w:pPr>
        <w:tabs>
          <w:tab w:val="left" w:pos="-720"/>
        </w:tabs>
        <w:suppressAutoHyphens/>
      </w:pPr>
    </w:p>
    <w:p w:rsidR="00EB26F9" w:rsidRDefault="00EB26F9">
      <w:pPr>
        <w:tabs>
          <w:tab w:val="left" w:pos="-720"/>
        </w:tabs>
        <w:suppressAutoHyphens/>
      </w:pPr>
      <w:r>
        <w:tab/>
        <w:t xml:space="preserve">We calculated the actuarial present value of projected benefits (APVPB) separately for each employee. We determined eligibility for retiree benefits based on information supplied by </w:t>
      </w:r>
      <w:r>
        <w:rPr>
          <w:noProof/>
        </w:rPr>
        <w:t>Coast CCD</w:t>
      </w:r>
      <w:r>
        <w:t>. We then selected assumptions for the factors discussed in the above Section that, based on plan experience and our training and experience, represent our best prediction of future plan experience. For each employee, we applied the appropriate factors based on the employee's age, sex and length of service.</w:t>
      </w:r>
    </w:p>
    <w:p w:rsidR="00EB26F9" w:rsidRDefault="00EB26F9">
      <w:pPr>
        <w:tabs>
          <w:tab w:val="left" w:pos="-720"/>
        </w:tabs>
        <w:suppressAutoHyphens/>
      </w:pPr>
    </w:p>
    <w:p w:rsidR="00EB26F9" w:rsidRDefault="00EB26F9" w:rsidP="00474F59">
      <w:r>
        <w:tab/>
        <w:t>We summarized actuarial assumptions used for this study in Appendix C.</w:t>
      </w:r>
    </w:p>
    <w:p w:rsidR="00EB26F9" w:rsidRDefault="00EB26F9">
      <w:pPr>
        <w:pStyle w:val="Heading2"/>
        <w:rPr>
          <w:rFonts w:ascii="Times New Roman" w:hAnsi="Times New Roman"/>
          <w:i w:val="0"/>
          <w:sz w:val="22"/>
          <w:u w:val="single"/>
        </w:rPr>
      </w:pPr>
      <w:bookmarkStart w:id="10" w:name="_Toc327518678"/>
      <w:r>
        <w:rPr>
          <w:rFonts w:ascii="Times New Roman" w:hAnsi="Times New Roman"/>
          <w:i w:val="0"/>
          <w:sz w:val="22"/>
          <w:u w:val="single"/>
        </w:rPr>
        <w:t>B.  Medicare</w:t>
      </w:r>
      <w:bookmarkEnd w:id="10"/>
    </w:p>
    <w:p w:rsidR="00EB26F9" w:rsidRDefault="00EB26F9">
      <w:pPr>
        <w:tabs>
          <w:tab w:val="left" w:pos="-720"/>
        </w:tabs>
        <w:suppressAutoHyphens/>
      </w:pPr>
    </w:p>
    <w:p w:rsidR="00EB26F9" w:rsidRDefault="00EB26F9">
      <w:pPr>
        <w:tabs>
          <w:tab w:val="left" w:pos="-720"/>
        </w:tabs>
        <w:suppressAutoHyphens/>
      </w:pPr>
      <w:r>
        <w:tab/>
        <w:t>The extent of Medicare coverage can affect projections of retiree health costs.</w:t>
      </w:r>
      <w:r>
        <w:rPr>
          <w:color w:val="000000"/>
          <w:szCs w:val="22"/>
        </w:rPr>
        <w:t xml:space="preserve"> The method of coordinating Medicare benefits with the retiree health plan's benefits can have a substantial impact on retiree health costs. We will be happy to provide more information about Medicare integration methods if requested.</w:t>
      </w:r>
    </w:p>
    <w:p w:rsidR="00EB26F9" w:rsidRDefault="00EB26F9">
      <w:pPr>
        <w:pStyle w:val="Heading2"/>
        <w:rPr>
          <w:rFonts w:ascii="Times New Roman" w:hAnsi="Times New Roman"/>
          <w:i w:val="0"/>
          <w:sz w:val="22"/>
          <w:u w:val="single"/>
        </w:rPr>
      </w:pPr>
      <w:bookmarkStart w:id="11" w:name="_Toc327518679"/>
      <w:r>
        <w:rPr>
          <w:rFonts w:ascii="Times New Roman" w:hAnsi="Times New Roman"/>
          <w:i w:val="0"/>
          <w:sz w:val="22"/>
          <w:u w:val="single"/>
        </w:rPr>
        <w:t>C.  Liability for Retiree Benefits.</w:t>
      </w:r>
      <w:bookmarkEnd w:id="11"/>
    </w:p>
    <w:p w:rsidR="00EB26F9" w:rsidRDefault="00EB26F9">
      <w:pPr>
        <w:tabs>
          <w:tab w:val="left" w:pos="-720"/>
        </w:tabs>
        <w:suppressAutoHyphens/>
      </w:pPr>
    </w:p>
    <w:p w:rsidR="00EB26F9" w:rsidRDefault="00EB26F9">
      <w:pPr>
        <w:tabs>
          <w:tab w:val="left" w:pos="-720"/>
        </w:tabs>
        <w:suppressAutoHyphens/>
        <w:spacing w:before="90"/>
      </w:pPr>
      <w:r>
        <w:tab/>
        <w:t xml:space="preserve">For each employee, we projected future premium costs using an assumed trend rate (see Appendix C). </w:t>
      </w:r>
      <w:r>
        <w:rPr>
          <w:color w:val="000000"/>
          <w:szCs w:val="22"/>
        </w:rPr>
        <w:t xml:space="preserve"> To the </w:t>
      </w:r>
      <w:smartTag w:uri="urn:schemas-microsoft-com:office:smarttags" w:element="place">
        <w:smartTag w:uri="urn:schemas-microsoft-com:office:smarttags" w:element="PlaceName">
          <w:r>
            <w:rPr>
              <w:color w:val="000000"/>
              <w:szCs w:val="22"/>
            </w:rPr>
            <w:t>extent</w:t>
          </w:r>
        </w:smartTag>
        <w:r>
          <w:rPr>
            <w:color w:val="000000"/>
            <w:szCs w:val="22"/>
          </w:rPr>
          <w:t xml:space="preserve"> </w:t>
        </w:r>
        <w:smartTag w:uri="urn:schemas-microsoft-com:office:smarttags" w:element="PlaceType">
          <w:r>
            <w:rPr>
              <w:color w:val="000000"/>
              <w:szCs w:val="22"/>
            </w:rPr>
            <w:t>Coast</w:t>
          </w:r>
        </w:smartTag>
      </w:smartTag>
      <w:r>
        <w:rPr>
          <w:color w:val="000000"/>
          <w:szCs w:val="22"/>
        </w:rPr>
        <w:t xml:space="preserve"> CCD uses contribution caps, the influence of the trend factor is further reduced.</w:t>
      </w:r>
    </w:p>
    <w:p w:rsidR="00EB26F9" w:rsidRDefault="00EB26F9">
      <w:pPr>
        <w:tabs>
          <w:tab w:val="left" w:pos="-720"/>
        </w:tabs>
        <w:suppressAutoHyphens/>
      </w:pPr>
    </w:p>
    <w:p w:rsidR="00EB26F9" w:rsidRDefault="00EB26F9">
      <w:pPr>
        <w:tabs>
          <w:tab w:val="left" w:pos="-720"/>
        </w:tabs>
        <w:suppressAutoHyphens/>
      </w:pPr>
      <w:r>
        <w:tab/>
        <w:t>We multiplied each year's projected cost by the probability that premium will be paid; i.e. based on the probability that the employee is living, has not terminated employment and has retired. The probability that premium will be paid is zero if the employee is not eligible. The employee is not eligible if s/he has not met minimum service, minimum age or, if applicable, maximum age requirements.</w:t>
      </w:r>
    </w:p>
    <w:p w:rsidR="00EB26F9" w:rsidRDefault="00EB26F9">
      <w:pPr>
        <w:tabs>
          <w:tab w:val="left" w:pos="-720"/>
        </w:tabs>
        <w:suppressAutoHyphens/>
      </w:pPr>
    </w:p>
    <w:p w:rsidR="00EB26F9" w:rsidRDefault="00EB26F9">
      <w:pPr>
        <w:tabs>
          <w:tab w:val="left" w:pos="-720"/>
        </w:tabs>
        <w:suppressAutoHyphens/>
      </w:pPr>
      <w:r>
        <w:tab/>
        <w:t xml:space="preserve">The product of each year's premium cost and the probability that premium will be paid equals the expected cost for that year. We discounted the expected cost for each year to the valuation date </w:t>
      </w:r>
      <w:r>
        <w:rPr>
          <w:noProof/>
        </w:rPr>
        <w:t>May 1, 2012</w:t>
      </w:r>
      <w:r>
        <w:t xml:space="preserve"> at </w:t>
      </w:r>
      <w:r>
        <w:rPr>
          <w:noProof/>
        </w:rPr>
        <w:t>7</w:t>
      </w:r>
      <w:r>
        <w:t>% interest.</w:t>
      </w:r>
    </w:p>
    <w:p w:rsidR="00EB26F9" w:rsidRDefault="00EB26F9">
      <w:pPr>
        <w:tabs>
          <w:tab w:val="left" w:pos="-720"/>
        </w:tabs>
        <w:suppressAutoHyphens/>
      </w:pPr>
    </w:p>
    <w:p w:rsidR="00EB26F9" w:rsidRDefault="00EB26F9">
      <w:pPr>
        <w:tabs>
          <w:tab w:val="left" w:pos="-720"/>
        </w:tabs>
        <w:suppressAutoHyphens/>
      </w:pPr>
      <w:r>
        <w:tab/>
        <w:t>Finally, we multiplied the above discounted expected cost figures by the probability that the retiree would elect coverage. A retiree may not elect to be covered if retiree health coverage is available less expensively from another source (e.g. Medicare risk contract) or the retiree is covered under a spouse's plan.</w:t>
      </w:r>
    </w:p>
    <w:p w:rsidR="00EB26F9" w:rsidRDefault="00EB26F9">
      <w:pPr>
        <w:tabs>
          <w:tab w:val="left" w:pos="-720"/>
        </w:tabs>
        <w:suppressAutoHyphens/>
      </w:pPr>
    </w:p>
    <w:p w:rsidR="00EB26F9" w:rsidRDefault="00EB26F9">
      <w:pPr>
        <w:tabs>
          <w:tab w:val="left" w:pos="-720"/>
        </w:tabs>
        <w:suppressAutoHyphens/>
      </w:pPr>
      <w:r>
        <w:tab/>
        <w:t>For any current retirees, the approach used was similar.  The major difference is that the probability of payment for current retirees depends only on mortality and age restrictions (i.e. for retired employees the probability of being retired and of not being terminated are always both 1.0000).</w:t>
      </w:r>
    </w:p>
    <w:p w:rsidR="00EB26F9" w:rsidRDefault="00EB26F9">
      <w:pPr>
        <w:tabs>
          <w:tab w:val="left" w:pos="-720"/>
        </w:tabs>
        <w:suppressAutoHyphens/>
      </w:pPr>
    </w:p>
    <w:p w:rsidR="00EB26F9" w:rsidRDefault="00EB26F9">
      <w:pPr>
        <w:tabs>
          <w:tab w:val="left" w:pos="-720"/>
        </w:tabs>
        <w:suppressAutoHyphens/>
      </w:pPr>
      <w:r>
        <w:tab/>
        <w:t xml:space="preserve">We added the APVPB for all employees to get the actuarial present value of total projected benefits (APVTPB). The APVTPB is the estimated present value of all future retiree health benefits for all </w:t>
      </w:r>
      <w:r>
        <w:rPr>
          <w:b/>
        </w:rPr>
        <w:t>current</w:t>
      </w:r>
      <w:r>
        <w:t xml:space="preserve"> employees and retirees. The APVTPB is the amount on </w:t>
      </w:r>
      <w:r>
        <w:rPr>
          <w:noProof/>
        </w:rPr>
        <w:t>May 1, 2012</w:t>
      </w:r>
      <w:r>
        <w:t xml:space="preserve"> that, if all actuarial assumptions are exactly right, would be sufficient to expense all promised benefits until the last current employee or retiree dies or reaches the maximum eligibility age.</w:t>
      </w:r>
    </w:p>
    <w:p w:rsidR="00EB26F9" w:rsidRDefault="00EB26F9">
      <w:pPr>
        <w:tabs>
          <w:tab w:val="left" w:pos="-720"/>
        </w:tabs>
        <w:suppressAutoHyphens/>
        <w:rPr>
          <w:snapToGrid/>
          <w:spacing w:val="0"/>
          <w:sz w:val="20"/>
        </w:rPr>
      </w:pPr>
      <w:r>
        <w:br w:type="page"/>
      </w:r>
    </w:p>
    <w:tbl>
      <w:tblPr>
        <w:tblW w:w="9840" w:type="dxa"/>
        <w:tblInd w:w="78" w:type="dxa"/>
        <w:tblLayout w:type="fixed"/>
        <w:tblLook w:val="0000"/>
      </w:tblPr>
      <w:tblGrid>
        <w:gridCol w:w="2114"/>
        <w:gridCol w:w="1931"/>
        <w:gridCol w:w="1932"/>
        <w:gridCol w:w="1931"/>
        <w:gridCol w:w="1932"/>
      </w:tblGrid>
      <w:tr w:rsidR="002548E2">
        <w:trPr>
          <w:trHeight w:val="290"/>
        </w:trPr>
        <w:tc>
          <w:tcPr>
            <w:tcW w:w="9840" w:type="dxa"/>
            <w:gridSpan w:val="5"/>
            <w:tcBorders>
              <w:top w:val="nil"/>
              <w:left w:val="nil"/>
              <w:bottom w:val="nil"/>
              <w:right w:val="nil"/>
            </w:tcBorders>
          </w:tcPr>
          <w:p w:rsidR="002548E2" w:rsidRDefault="002548E2">
            <w:pPr>
              <w:autoSpaceDE w:val="0"/>
              <w:autoSpaceDN w:val="0"/>
              <w:adjustRightInd w:val="0"/>
              <w:rPr>
                <w:color w:val="000000"/>
                <w:szCs w:val="22"/>
              </w:rPr>
            </w:pPr>
            <w:r>
              <w:rPr>
                <w:b/>
                <w:bCs/>
                <w:color w:val="000000"/>
                <w:szCs w:val="22"/>
              </w:rPr>
              <w:lastRenderedPageBreak/>
              <w:t>Actuarial Present Value of Total Projected Benefits</w:t>
            </w:r>
          </w:p>
        </w:tc>
      </w:tr>
      <w:tr w:rsidR="002548E2">
        <w:trPr>
          <w:trHeight w:val="276"/>
        </w:trPr>
        <w:tc>
          <w:tcPr>
            <w:tcW w:w="2114" w:type="dxa"/>
            <w:tcBorders>
              <w:top w:val="nil"/>
              <w:left w:val="nil"/>
              <w:bottom w:val="nil"/>
              <w:right w:val="nil"/>
            </w:tcBorders>
          </w:tcPr>
          <w:p w:rsidR="002548E2" w:rsidRDefault="002548E2">
            <w:pPr>
              <w:autoSpaceDE w:val="0"/>
              <w:autoSpaceDN w:val="0"/>
              <w:adjustRightInd w:val="0"/>
              <w:rPr>
                <w:b/>
                <w:bCs/>
                <w:color w:val="000000"/>
                <w:szCs w:val="22"/>
              </w:rPr>
            </w:pPr>
            <w:r>
              <w:rPr>
                <w:b/>
                <w:bCs/>
                <w:color w:val="000000"/>
                <w:szCs w:val="22"/>
              </w:rPr>
              <w:t>May 1, 2012</w:t>
            </w:r>
          </w:p>
        </w:tc>
        <w:tc>
          <w:tcPr>
            <w:tcW w:w="1931"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Total</w:t>
            </w:r>
          </w:p>
        </w:tc>
        <w:tc>
          <w:tcPr>
            <w:tcW w:w="1932"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Faculty</w:t>
            </w:r>
          </w:p>
        </w:tc>
        <w:tc>
          <w:tcPr>
            <w:tcW w:w="1931"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Classified</w:t>
            </w:r>
          </w:p>
        </w:tc>
        <w:tc>
          <w:tcPr>
            <w:tcW w:w="1932"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Management</w:t>
            </w:r>
          </w:p>
        </w:tc>
      </w:tr>
      <w:tr w:rsidR="002548E2">
        <w:trPr>
          <w:trHeight w:val="290"/>
        </w:trPr>
        <w:tc>
          <w:tcPr>
            <w:tcW w:w="211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Active: Pre-65</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$41,219,630</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$13,399,819</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$23,569,092</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$4,250,719</w:t>
            </w:r>
          </w:p>
        </w:tc>
      </w:tr>
      <w:tr w:rsidR="002548E2">
        <w:trPr>
          <w:trHeight w:val="290"/>
        </w:trPr>
        <w:tc>
          <w:tcPr>
            <w:tcW w:w="211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Post-65</w:t>
            </w:r>
          </w:p>
        </w:tc>
        <w:tc>
          <w:tcPr>
            <w:tcW w:w="1931"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$37,122,089</w:t>
            </w:r>
          </w:p>
        </w:tc>
        <w:tc>
          <w:tcPr>
            <w:tcW w:w="1932"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$14,178,950</w:t>
            </w:r>
          </w:p>
        </w:tc>
        <w:tc>
          <w:tcPr>
            <w:tcW w:w="1931"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$19,077,470</w:t>
            </w:r>
          </w:p>
        </w:tc>
        <w:tc>
          <w:tcPr>
            <w:tcW w:w="1932"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$3,865,669</w:t>
            </w:r>
          </w:p>
        </w:tc>
      </w:tr>
      <w:tr w:rsidR="002548E2">
        <w:trPr>
          <w:trHeight w:val="290"/>
        </w:trPr>
        <w:tc>
          <w:tcPr>
            <w:tcW w:w="2114" w:type="dxa"/>
            <w:tcBorders>
              <w:top w:val="nil"/>
              <w:left w:val="nil"/>
              <w:bottom w:val="nil"/>
              <w:right w:val="nil"/>
            </w:tcBorders>
          </w:tcPr>
          <w:p w:rsidR="002548E2" w:rsidRDefault="002548E2">
            <w:pPr>
              <w:autoSpaceDE w:val="0"/>
              <w:autoSpaceDN w:val="0"/>
              <w:adjustRightInd w:val="0"/>
              <w:jc w:val="center"/>
              <w:rPr>
                <w:color w:val="000000"/>
                <w:szCs w:val="22"/>
              </w:rPr>
            </w:pPr>
            <w:r>
              <w:rPr>
                <w:color w:val="000000"/>
                <w:szCs w:val="22"/>
              </w:rPr>
              <w:t>Subtotal</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$78,341,719</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$27,578,769</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$42,646,562</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$8,116,388</w:t>
            </w:r>
          </w:p>
        </w:tc>
      </w:tr>
      <w:tr w:rsidR="002548E2">
        <w:trPr>
          <w:trHeight w:val="173"/>
        </w:trPr>
        <w:tc>
          <w:tcPr>
            <w:tcW w:w="2114"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p>
        </w:tc>
      </w:tr>
      <w:tr w:rsidR="002548E2">
        <w:trPr>
          <w:trHeight w:val="290"/>
        </w:trPr>
        <w:tc>
          <w:tcPr>
            <w:tcW w:w="211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Retiree: Pre-65</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$11,845,512</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$1,573,998</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$7,244,690</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$3,026,824</w:t>
            </w:r>
          </w:p>
        </w:tc>
      </w:tr>
      <w:tr w:rsidR="002548E2">
        <w:trPr>
          <w:trHeight w:val="290"/>
        </w:trPr>
        <w:tc>
          <w:tcPr>
            <w:tcW w:w="211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Post-65</w:t>
            </w:r>
          </w:p>
        </w:tc>
        <w:tc>
          <w:tcPr>
            <w:tcW w:w="1931"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$31,424,705</w:t>
            </w:r>
          </w:p>
        </w:tc>
        <w:tc>
          <w:tcPr>
            <w:tcW w:w="1932"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$14,252,427</w:t>
            </w:r>
          </w:p>
        </w:tc>
        <w:tc>
          <w:tcPr>
            <w:tcW w:w="1931"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$10,142,725</w:t>
            </w:r>
          </w:p>
        </w:tc>
        <w:tc>
          <w:tcPr>
            <w:tcW w:w="1932"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$7,029,553</w:t>
            </w:r>
          </w:p>
        </w:tc>
      </w:tr>
      <w:tr w:rsidR="002548E2">
        <w:trPr>
          <w:trHeight w:val="290"/>
        </w:trPr>
        <w:tc>
          <w:tcPr>
            <w:tcW w:w="2114" w:type="dxa"/>
            <w:tcBorders>
              <w:top w:val="nil"/>
              <w:left w:val="nil"/>
              <w:bottom w:val="nil"/>
              <w:right w:val="nil"/>
            </w:tcBorders>
          </w:tcPr>
          <w:p w:rsidR="002548E2" w:rsidRDefault="002548E2">
            <w:pPr>
              <w:autoSpaceDE w:val="0"/>
              <w:autoSpaceDN w:val="0"/>
              <w:adjustRightInd w:val="0"/>
              <w:jc w:val="center"/>
              <w:rPr>
                <w:color w:val="000000"/>
                <w:szCs w:val="22"/>
              </w:rPr>
            </w:pPr>
            <w:r>
              <w:rPr>
                <w:color w:val="000000"/>
                <w:szCs w:val="22"/>
              </w:rPr>
              <w:t>Subtotal</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$43,270,217</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$15,826,425</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$17,387,415</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$10,056,377</w:t>
            </w:r>
          </w:p>
        </w:tc>
      </w:tr>
      <w:tr w:rsidR="002548E2">
        <w:trPr>
          <w:trHeight w:val="158"/>
        </w:trPr>
        <w:tc>
          <w:tcPr>
            <w:tcW w:w="2114"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931"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p>
        </w:tc>
        <w:tc>
          <w:tcPr>
            <w:tcW w:w="1932"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p>
        </w:tc>
        <w:tc>
          <w:tcPr>
            <w:tcW w:w="1931"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p>
        </w:tc>
        <w:tc>
          <w:tcPr>
            <w:tcW w:w="1932"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p>
        </w:tc>
      </w:tr>
      <w:tr w:rsidR="002548E2">
        <w:trPr>
          <w:trHeight w:val="290"/>
        </w:trPr>
        <w:tc>
          <w:tcPr>
            <w:tcW w:w="2114" w:type="dxa"/>
            <w:tcBorders>
              <w:top w:val="nil"/>
              <w:left w:val="nil"/>
              <w:bottom w:val="nil"/>
              <w:right w:val="nil"/>
            </w:tcBorders>
          </w:tcPr>
          <w:p w:rsidR="002548E2" w:rsidRDefault="002548E2">
            <w:pPr>
              <w:autoSpaceDE w:val="0"/>
              <w:autoSpaceDN w:val="0"/>
              <w:adjustRightInd w:val="0"/>
              <w:rPr>
                <w:color w:val="000000"/>
                <w:szCs w:val="22"/>
              </w:rPr>
            </w:pPr>
            <w:r>
              <w:rPr>
                <w:color w:val="000000"/>
                <w:szCs w:val="22"/>
              </w:rPr>
              <w:t>Grand Total</w:t>
            </w:r>
          </w:p>
        </w:tc>
        <w:tc>
          <w:tcPr>
            <w:tcW w:w="1931" w:type="dxa"/>
            <w:tcBorders>
              <w:top w:val="single" w:sz="6" w:space="0" w:color="auto"/>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$121,611,935</w:t>
            </w:r>
          </w:p>
        </w:tc>
        <w:tc>
          <w:tcPr>
            <w:tcW w:w="1932" w:type="dxa"/>
            <w:tcBorders>
              <w:top w:val="single" w:sz="6" w:space="0" w:color="auto"/>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$43,405,193</w:t>
            </w:r>
          </w:p>
        </w:tc>
        <w:tc>
          <w:tcPr>
            <w:tcW w:w="1931" w:type="dxa"/>
            <w:tcBorders>
              <w:top w:val="single" w:sz="6" w:space="0" w:color="auto"/>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$60,033,977</w:t>
            </w:r>
          </w:p>
        </w:tc>
        <w:tc>
          <w:tcPr>
            <w:tcW w:w="1932" w:type="dxa"/>
            <w:tcBorders>
              <w:top w:val="single" w:sz="6" w:space="0" w:color="auto"/>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$18,172,765</w:t>
            </w:r>
          </w:p>
        </w:tc>
      </w:tr>
      <w:tr w:rsidR="002548E2">
        <w:trPr>
          <w:trHeight w:val="158"/>
        </w:trPr>
        <w:tc>
          <w:tcPr>
            <w:tcW w:w="2114"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p>
        </w:tc>
      </w:tr>
      <w:tr w:rsidR="002548E2">
        <w:trPr>
          <w:trHeight w:val="290"/>
        </w:trPr>
        <w:tc>
          <w:tcPr>
            <w:tcW w:w="211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Subtotal Pre-65</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$53,065,142</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$14,973,817</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$30,813,782</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$7,277,543</w:t>
            </w:r>
          </w:p>
        </w:tc>
      </w:tr>
      <w:tr w:rsidR="002548E2">
        <w:trPr>
          <w:trHeight w:val="290"/>
        </w:trPr>
        <w:tc>
          <w:tcPr>
            <w:tcW w:w="211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Subtotal Post-65</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$68,546,793</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$28,431,376</w:t>
            </w:r>
          </w:p>
        </w:tc>
        <w:tc>
          <w:tcPr>
            <w:tcW w:w="1931"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$29,220,195</w:t>
            </w:r>
          </w:p>
        </w:tc>
        <w:tc>
          <w:tcPr>
            <w:tcW w:w="193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$10,895,222</w:t>
            </w:r>
          </w:p>
        </w:tc>
      </w:tr>
    </w:tbl>
    <w:p w:rsidR="00EB26F9" w:rsidRDefault="00EB26F9">
      <w:pPr>
        <w:tabs>
          <w:tab w:val="left" w:pos="-720"/>
        </w:tabs>
        <w:suppressAutoHyphens/>
      </w:pPr>
    </w:p>
    <w:p w:rsidR="00EB26F9" w:rsidRDefault="00EB26F9">
      <w:pPr>
        <w:tabs>
          <w:tab w:val="left" w:pos="-720"/>
        </w:tabs>
        <w:suppressAutoHyphens/>
      </w:pPr>
      <w:r>
        <w:tab/>
        <w:t>The APVTPB should be accrued over the working lifetime of employees. At any time much of it has not been “earned” by employees. The APVTPB is used to develop expense and liability figures. To do so, the APVTFB is divided into two parts: the portions attributable to service rendered prior to the valuation date (the past service liability or actuarial accrued liability under GASB 43 and 45) and to service after the valuation date but prior to retirement (the future service liability).</w:t>
      </w:r>
    </w:p>
    <w:p w:rsidR="00EB26F9" w:rsidRDefault="00EB26F9">
      <w:pPr>
        <w:tabs>
          <w:tab w:val="left" w:pos="-720"/>
        </w:tabs>
        <w:suppressAutoHyphens/>
      </w:pPr>
    </w:p>
    <w:p w:rsidR="00EB26F9" w:rsidRDefault="00EB26F9">
      <w:pPr>
        <w:tabs>
          <w:tab w:val="left" w:pos="-720"/>
        </w:tabs>
        <w:suppressAutoHyphens/>
      </w:pPr>
      <w:r>
        <w:tab/>
        <w:t>The past service and future service liabilities are each funded in a different way. We will start with the future service liability which is funded by the normal cost.</w:t>
      </w:r>
    </w:p>
    <w:p w:rsidR="00EB26F9" w:rsidRDefault="00EB26F9">
      <w:pPr>
        <w:pStyle w:val="Heading2"/>
        <w:rPr>
          <w:rFonts w:ascii="Times New Roman" w:hAnsi="Times New Roman"/>
          <w:i w:val="0"/>
          <w:sz w:val="22"/>
          <w:u w:val="single"/>
        </w:rPr>
      </w:pPr>
      <w:bookmarkStart w:id="12" w:name="_Toc327518680"/>
      <w:r>
        <w:rPr>
          <w:rFonts w:ascii="Times New Roman" w:hAnsi="Times New Roman"/>
          <w:i w:val="0"/>
          <w:sz w:val="22"/>
          <w:u w:val="single"/>
        </w:rPr>
        <w:t>D.  Cost to Prefund Retiree Benefits</w:t>
      </w:r>
      <w:bookmarkEnd w:id="12"/>
    </w:p>
    <w:p w:rsidR="00EB26F9" w:rsidRDefault="00EB26F9">
      <w:pPr>
        <w:pStyle w:val="Heading3"/>
        <w:rPr>
          <w:rFonts w:ascii="Times New Roman" w:hAnsi="Times New Roman"/>
          <w:sz w:val="22"/>
          <w:u w:val="single"/>
        </w:rPr>
      </w:pPr>
      <w:r>
        <w:tab/>
      </w:r>
      <w:bookmarkStart w:id="13" w:name="_Toc327518681"/>
      <w:r>
        <w:rPr>
          <w:rFonts w:ascii="Times New Roman" w:hAnsi="Times New Roman"/>
          <w:sz w:val="22"/>
          <w:u w:val="single"/>
        </w:rPr>
        <w:t>1.  Normal Cost</w:t>
      </w:r>
      <w:bookmarkEnd w:id="13"/>
    </w:p>
    <w:p w:rsidR="00EB26F9" w:rsidRDefault="00EB26F9">
      <w:pPr>
        <w:tabs>
          <w:tab w:val="left" w:pos="-720"/>
        </w:tabs>
        <w:suppressAutoHyphens/>
      </w:pPr>
    </w:p>
    <w:p w:rsidR="00EB26F9" w:rsidRDefault="00EB26F9">
      <w:pPr>
        <w:tabs>
          <w:tab w:val="left" w:pos="-720"/>
        </w:tabs>
        <w:suppressAutoHyphens/>
      </w:pPr>
      <w:r>
        <w:tab/>
        <w:t xml:space="preserve">The average hire age for eligible employees is </w:t>
      </w:r>
      <w:r>
        <w:rPr>
          <w:noProof/>
        </w:rPr>
        <w:t>37</w:t>
      </w:r>
      <w:r>
        <w:t xml:space="preserve">. To accrue the liability by retirement, the </w:t>
      </w:r>
      <w:r>
        <w:rPr>
          <w:noProof/>
        </w:rPr>
        <w:t>College</w:t>
      </w:r>
      <w:r>
        <w:t xml:space="preserve"> would accrue the retiree liability over a period of about </w:t>
      </w:r>
      <w:r>
        <w:rPr>
          <w:noProof/>
        </w:rPr>
        <w:t>23</w:t>
      </w:r>
      <w:r>
        <w:t xml:space="preserve"> years (assuming an average retirement age of </w:t>
      </w:r>
      <w:r>
        <w:rPr>
          <w:noProof/>
        </w:rPr>
        <w:t>60</w:t>
      </w:r>
      <w:r>
        <w:t>). We applied an "entry age normal" actuarial cost method to determine funding rates for active employees. The table below summarizes the calculated normal cost.</w:t>
      </w:r>
    </w:p>
    <w:p w:rsidR="00EB26F9" w:rsidRDefault="00EB26F9">
      <w:pPr>
        <w:tabs>
          <w:tab w:val="left" w:pos="-720"/>
        </w:tabs>
        <w:suppressAutoHyphens/>
        <w:rPr>
          <w:snapToGrid/>
          <w:spacing w:val="0"/>
          <w:sz w:val="20"/>
        </w:rPr>
      </w:pPr>
    </w:p>
    <w:tbl>
      <w:tblPr>
        <w:tblW w:w="9660" w:type="dxa"/>
        <w:tblInd w:w="78" w:type="dxa"/>
        <w:tblLayout w:type="fixed"/>
        <w:tblLook w:val="0000"/>
      </w:tblPr>
      <w:tblGrid>
        <w:gridCol w:w="2477"/>
        <w:gridCol w:w="1795"/>
        <w:gridCol w:w="1796"/>
        <w:gridCol w:w="1796"/>
        <w:gridCol w:w="1796"/>
      </w:tblGrid>
      <w:tr w:rsidR="002548E2">
        <w:trPr>
          <w:trHeight w:val="290"/>
        </w:trPr>
        <w:tc>
          <w:tcPr>
            <w:tcW w:w="9660" w:type="dxa"/>
            <w:gridSpan w:val="5"/>
            <w:tcBorders>
              <w:top w:val="nil"/>
              <w:left w:val="nil"/>
              <w:bottom w:val="nil"/>
              <w:right w:val="nil"/>
            </w:tcBorders>
          </w:tcPr>
          <w:p w:rsidR="002548E2" w:rsidRDefault="002548E2">
            <w:pPr>
              <w:autoSpaceDE w:val="0"/>
              <w:autoSpaceDN w:val="0"/>
              <w:adjustRightInd w:val="0"/>
              <w:rPr>
                <w:color w:val="000000"/>
                <w:szCs w:val="22"/>
              </w:rPr>
            </w:pPr>
            <w:r>
              <w:rPr>
                <w:b/>
                <w:bCs/>
                <w:color w:val="000000"/>
                <w:szCs w:val="22"/>
              </w:rPr>
              <w:t>Normal Cost Year Beginning</w:t>
            </w:r>
          </w:p>
        </w:tc>
      </w:tr>
      <w:tr w:rsidR="002548E2">
        <w:trPr>
          <w:trHeight w:val="276"/>
        </w:trPr>
        <w:tc>
          <w:tcPr>
            <w:tcW w:w="2477" w:type="dxa"/>
            <w:tcBorders>
              <w:top w:val="nil"/>
              <w:left w:val="nil"/>
              <w:bottom w:val="nil"/>
              <w:right w:val="nil"/>
            </w:tcBorders>
          </w:tcPr>
          <w:p w:rsidR="002548E2" w:rsidRDefault="002548E2">
            <w:pPr>
              <w:autoSpaceDE w:val="0"/>
              <w:autoSpaceDN w:val="0"/>
              <w:adjustRightInd w:val="0"/>
              <w:rPr>
                <w:b/>
                <w:bCs/>
                <w:color w:val="000000"/>
                <w:szCs w:val="22"/>
              </w:rPr>
            </w:pPr>
            <w:r>
              <w:rPr>
                <w:b/>
                <w:bCs/>
                <w:color w:val="000000"/>
                <w:szCs w:val="22"/>
              </w:rPr>
              <w:t>May 1, 2012</w:t>
            </w:r>
          </w:p>
        </w:tc>
        <w:tc>
          <w:tcPr>
            <w:tcW w:w="1795"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Total</w:t>
            </w:r>
          </w:p>
        </w:tc>
        <w:tc>
          <w:tcPr>
            <w:tcW w:w="1796"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Faculty</w:t>
            </w:r>
          </w:p>
        </w:tc>
        <w:tc>
          <w:tcPr>
            <w:tcW w:w="1796"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Classified</w:t>
            </w:r>
          </w:p>
        </w:tc>
        <w:tc>
          <w:tcPr>
            <w:tcW w:w="1796"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Management</w:t>
            </w:r>
          </w:p>
        </w:tc>
      </w:tr>
      <w:tr w:rsidR="002548E2">
        <w:trPr>
          <w:trHeight w:val="290"/>
        </w:trPr>
        <w:tc>
          <w:tcPr>
            <w:tcW w:w="2477" w:type="dxa"/>
            <w:tcBorders>
              <w:top w:val="nil"/>
              <w:left w:val="nil"/>
              <w:bottom w:val="nil"/>
              <w:right w:val="nil"/>
            </w:tcBorders>
          </w:tcPr>
          <w:p w:rsidR="002548E2" w:rsidRDefault="002548E2">
            <w:pPr>
              <w:autoSpaceDE w:val="0"/>
              <w:autoSpaceDN w:val="0"/>
              <w:adjustRightInd w:val="0"/>
              <w:rPr>
                <w:b/>
                <w:bCs/>
                <w:color w:val="000000"/>
                <w:szCs w:val="22"/>
              </w:rPr>
            </w:pPr>
            <w:r>
              <w:rPr>
                <w:b/>
                <w:bCs/>
                <w:color w:val="000000"/>
                <w:szCs w:val="22"/>
              </w:rPr>
              <w:t># of Employees</w:t>
            </w:r>
          </w:p>
        </w:tc>
        <w:tc>
          <w:tcPr>
            <w:tcW w:w="179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1214</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411</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675</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128</w:t>
            </w:r>
          </w:p>
        </w:tc>
      </w:tr>
      <w:tr w:rsidR="002548E2">
        <w:trPr>
          <w:trHeight w:val="276"/>
        </w:trPr>
        <w:tc>
          <w:tcPr>
            <w:tcW w:w="2477" w:type="dxa"/>
            <w:tcBorders>
              <w:top w:val="nil"/>
              <w:left w:val="nil"/>
              <w:bottom w:val="nil"/>
              <w:right w:val="nil"/>
            </w:tcBorders>
          </w:tcPr>
          <w:p w:rsidR="002548E2" w:rsidRDefault="002548E2">
            <w:pPr>
              <w:autoSpaceDE w:val="0"/>
              <w:autoSpaceDN w:val="0"/>
              <w:adjustRightInd w:val="0"/>
              <w:rPr>
                <w:b/>
                <w:bCs/>
                <w:color w:val="000000"/>
                <w:szCs w:val="22"/>
              </w:rPr>
            </w:pPr>
            <w:r>
              <w:rPr>
                <w:b/>
                <w:bCs/>
                <w:color w:val="000000"/>
                <w:szCs w:val="22"/>
              </w:rPr>
              <w:t xml:space="preserve">Per Capita </w:t>
            </w:r>
            <w:smartTag w:uri="urn:schemas-microsoft-com:office:smarttags" w:element="City">
              <w:smartTag w:uri="urn:schemas-microsoft-com:office:smarttags" w:element="place">
                <w:r>
                  <w:rPr>
                    <w:b/>
                    <w:bCs/>
                    <w:color w:val="000000"/>
                    <w:szCs w:val="22"/>
                  </w:rPr>
                  <w:t>Normal</w:t>
                </w:r>
              </w:smartTag>
            </w:smartTag>
            <w:r>
              <w:rPr>
                <w:b/>
                <w:bCs/>
                <w:color w:val="000000"/>
                <w:szCs w:val="22"/>
              </w:rPr>
              <w:t xml:space="preserve"> Cost</w:t>
            </w:r>
          </w:p>
        </w:tc>
        <w:tc>
          <w:tcPr>
            <w:tcW w:w="1795" w:type="dxa"/>
            <w:tcBorders>
              <w:top w:val="nil"/>
              <w:left w:val="nil"/>
              <w:bottom w:val="nil"/>
              <w:right w:val="nil"/>
            </w:tcBorders>
          </w:tcPr>
          <w:p w:rsidR="002548E2" w:rsidRDefault="002548E2">
            <w:pPr>
              <w:autoSpaceDE w:val="0"/>
              <w:autoSpaceDN w:val="0"/>
              <w:adjustRightInd w:val="0"/>
              <w:jc w:val="right"/>
              <w:rPr>
                <w:b/>
                <w:bCs/>
                <w:color w:val="000000"/>
                <w:szCs w:val="22"/>
                <w:u w:val="single"/>
              </w:rPr>
            </w:pPr>
          </w:p>
        </w:tc>
        <w:tc>
          <w:tcPr>
            <w:tcW w:w="1796" w:type="dxa"/>
            <w:tcBorders>
              <w:top w:val="nil"/>
              <w:left w:val="nil"/>
              <w:bottom w:val="nil"/>
              <w:right w:val="nil"/>
            </w:tcBorders>
          </w:tcPr>
          <w:p w:rsidR="002548E2" w:rsidRDefault="002548E2">
            <w:pPr>
              <w:autoSpaceDE w:val="0"/>
              <w:autoSpaceDN w:val="0"/>
              <w:adjustRightInd w:val="0"/>
              <w:jc w:val="right"/>
              <w:rPr>
                <w:b/>
                <w:bCs/>
                <w:color w:val="000000"/>
                <w:szCs w:val="22"/>
                <w:u w:val="single"/>
              </w:rPr>
            </w:pPr>
          </w:p>
        </w:tc>
        <w:tc>
          <w:tcPr>
            <w:tcW w:w="1796" w:type="dxa"/>
            <w:tcBorders>
              <w:top w:val="nil"/>
              <w:left w:val="nil"/>
              <w:bottom w:val="nil"/>
              <w:right w:val="nil"/>
            </w:tcBorders>
          </w:tcPr>
          <w:p w:rsidR="002548E2" w:rsidRDefault="002548E2">
            <w:pPr>
              <w:autoSpaceDE w:val="0"/>
              <w:autoSpaceDN w:val="0"/>
              <w:adjustRightInd w:val="0"/>
              <w:jc w:val="right"/>
              <w:rPr>
                <w:b/>
                <w:bCs/>
                <w:color w:val="000000"/>
                <w:szCs w:val="22"/>
                <w:u w:val="single"/>
              </w:rPr>
            </w:pPr>
          </w:p>
        </w:tc>
        <w:tc>
          <w:tcPr>
            <w:tcW w:w="1796" w:type="dxa"/>
            <w:tcBorders>
              <w:top w:val="nil"/>
              <w:left w:val="nil"/>
              <w:bottom w:val="nil"/>
              <w:right w:val="nil"/>
            </w:tcBorders>
          </w:tcPr>
          <w:p w:rsidR="002548E2" w:rsidRDefault="002548E2">
            <w:pPr>
              <w:autoSpaceDE w:val="0"/>
              <w:autoSpaceDN w:val="0"/>
              <w:adjustRightInd w:val="0"/>
              <w:jc w:val="right"/>
              <w:rPr>
                <w:b/>
                <w:bCs/>
                <w:color w:val="000000"/>
                <w:szCs w:val="22"/>
                <w:u w:val="single"/>
              </w:rPr>
            </w:pPr>
          </w:p>
        </w:tc>
      </w:tr>
      <w:tr w:rsidR="002548E2">
        <w:trPr>
          <w:trHeight w:val="290"/>
        </w:trPr>
        <w:tc>
          <w:tcPr>
            <w:tcW w:w="2477"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Pre-65 Benefit</w:t>
            </w:r>
          </w:p>
        </w:tc>
        <w:tc>
          <w:tcPr>
            <w:tcW w:w="179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N/A</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$2,005</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$1,786</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$2,011</w:t>
            </w:r>
          </w:p>
        </w:tc>
      </w:tr>
      <w:tr w:rsidR="002548E2">
        <w:trPr>
          <w:trHeight w:val="290"/>
        </w:trPr>
        <w:tc>
          <w:tcPr>
            <w:tcW w:w="2477"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Post-65 Benefit</w:t>
            </w:r>
          </w:p>
        </w:tc>
        <w:tc>
          <w:tcPr>
            <w:tcW w:w="179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N/A</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$1,229</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$960</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$1,080</w:t>
            </w:r>
          </w:p>
        </w:tc>
      </w:tr>
      <w:tr w:rsidR="002548E2">
        <w:trPr>
          <w:trHeight w:val="173"/>
        </w:trPr>
        <w:tc>
          <w:tcPr>
            <w:tcW w:w="2477"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795"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p>
        </w:tc>
      </w:tr>
      <w:tr w:rsidR="002548E2">
        <w:trPr>
          <w:trHeight w:val="290"/>
        </w:trPr>
        <w:tc>
          <w:tcPr>
            <w:tcW w:w="2477" w:type="dxa"/>
            <w:tcBorders>
              <w:top w:val="nil"/>
              <w:left w:val="nil"/>
              <w:bottom w:val="nil"/>
              <w:right w:val="nil"/>
            </w:tcBorders>
          </w:tcPr>
          <w:p w:rsidR="002548E2" w:rsidRDefault="002548E2">
            <w:pPr>
              <w:autoSpaceDE w:val="0"/>
              <w:autoSpaceDN w:val="0"/>
              <w:adjustRightInd w:val="0"/>
              <w:rPr>
                <w:b/>
                <w:bCs/>
                <w:color w:val="000000"/>
                <w:szCs w:val="22"/>
              </w:rPr>
            </w:pPr>
            <w:r>
              <w:rPr>
                <w:b/>
                <w:bCs/>
                <w:color w:val="000000"/>
                <w:szCs w:val="22"/>
              </w:rPr>
              <w:t xml:space="preserve">First Year </w:t>
            </w:r>
            <w:smartTag w:uri="urn:schemas-microsoft-com:office:smarttags" w:element="place">
              <w:r>
                <w:rPr>
                  <w:b/>
                  <w:bCs/>
                  <w:color w:val="000000"/>
                  <w:szCs w:val="22"/>
                </w:rPr>
                <w:t>Normal</w:t>
              </w:r>
            </w:smartTag>
            <w:r>
              <w:rPr>
                <w:b/>
                <w:bCs/>
                <w:color w:val="000000"/>
                <w:szCs w:val="22"/>
              </w:rPr>
              <w:t xml:space="preserve"> Cost</w:t>
            </w:r>
          </w:p>
        </w:tc>
        <w:tc>
          <w:tcPr>
            <w:tcW w:w="1795" w:type="dxa"/>
            <w:tcBorders>
              <w:top w:val="nil"/>
              <w:left w:val="nil"/>
              <w:bottom w:val="nil"/>
              <w:right w:val="nil"/>
            </w:tcBorders>
          </w:tcPr>
          <w:p w:rsidR="002548E2" w:rsidRDefault="002548E2">
            <w:pPr>
              <w:autoSpaceDE w:val="0"/>
              <w:autoSpaceDN w:val="0"/>
              <w:adjustRightInd w:val="0"/>
              <w:jc w:val="right"/>
              <w:rPr>
                <w:b/>
                <w:bCs/>
                <w:color w:val="000000"/>
                <w:szCs w:val="22"/>
              </w:rPr>
            </w:pP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p>
        </w:tc>
      </w:tr>
      <w:tr w:rsidR="002548E2">
        <w:trPr>
          <w:trHeight w:val="290"/>
        </w:trPr>
        <w:tc>
          <w:tcPr>
            <w:tcW w:w="2477"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Pre-65 Benefit</w:t>
            </w:r>
          </w:p>
        </w:tc>
        <w:tc>
          <w:tcPr>
            <w:tcW w:w="179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$2,287,013</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$824,055</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$1,205,550</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$257,408</w:t>
            </w:r>
          </w:p>
        </w:tc>
      </w:tr>
      <w:tr w:rsidR="002548E2">
        <w:trPr>
          <w:trHeight w:val="290"/>
        </w:trPr>
        <w:tc>
          <w:tcPr>
            <w:tcW w:w="2477"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Post-65 Benefit</w:t>
            </w:r>
          </w:p>
        </w:tc>
        <w:tc>
          <w:tcPr>
            <w:tcW w:w="1795"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$1,291,359</w:t>
            </w:r>
          </w:p>
        </w:tc>
        <w:tc>
          <w:tcPr>
            <w:tcW w:w="1796"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$505,119</w:t>
            </w:r>
          </w:p>
        </w:tc>
        <w:tc>
          <w:tcPr>
            <w:tcW w:w="1796"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$648,000</w:t>
            </w:r>
          </w:p>
        </w:tc>
        <w:tc>
          <w:tcPr>
            <w:tcW w:w="1796"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$138,240</w:t>
            </w:r>
          </w:p>
        </w:tc>
      </w:tr>
      <w:tr w:rsidR="002548E2">
        <w:trPr>
          <w:trHeight w:val="290"/>
        </w:trPr>
        <w:tc>
          <w:tcPr>
            <w:tcW w:w="2477"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Total</w:t>
            </w:r>
          </w:p>
        </w:tc>
        <w:tc>
          <w:tcPr>
            <w:tcW w:w="179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$3,578,372</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$1,329,174</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$1,853,550</w:t>
            </w:r>
          </w:p>
        </w:tc>
        <w:tc>
          <w:tcPr>
            <w:tcW w:w="1796"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$395,648</w:t>
            </w:r>
          </w:p>
        </w:tc>
      </w:tr>
    </w:tbl>
    <w:p w:rsidR="00EB26F9" w:rsidRDefault="00EB26F9">
      <w:pPr>
        <w:tabs>
          <w:tab w:val="left" w:pos="-720"/>
        </w:tabs>
        <w:suppressAutoHyphens/>
      </w:pPr>
    </w:p>
    <w:p w:rsidR="00EB26F9" w:rsidRDefault="00EB26F9">
      <w:pPr>
        <w:tabs>
          <w:tab w:val="left" w:pos="-720"/>
        </w:tabs>
        <w:suppressAutoHyphens/>
      </w:pPr>
      <w:r>
        <w:tab/>
        <w:t xml:space="preserve">Accruing retiree health benefit costs using normal costs levels out the cost of retiree health benefits over time and more fairly reflects the value of benefits "earned" each year by employees. </w:t>
      </w:r>
      <w:r>
        <w:rPr>
          <w:color w:val="000000"/>
          <w:szCs w:val="22"/>
        </w:rPr>
        <w:t xml:space="preserve"> This normal cost would </w:t>
      </w:r>
      <w:r>
        <w:rPr>
          <w:color w:val="000000"/>
          <w:szCs w:val="22"/>
        </w:rPr>
        <w:lastRenderedPageBreak/>
        <w:t>increase each year based on covered payroll.</w:t>
      </w:r>
    </w:p>
    <w:p w:rsidR="00EB26F9" w:rsidRDefault="00EB26F9">
      <w:pPr>
        <w:pStyle w:val="Heading3"/>
        <w:rPr>
          <w:rFonts w:ascii="Times New Roman" w:hAnsi="Times New Roman"/>
          <w:sz w:val="22"/>
          <w:u w:val="single"/>
        </w:rPr>
      </w:pPr>
      <w:r>
        <w:tab/>
      </w:r>
      <w:bookmarkStart w:id="14" w:name="_Toc327518682"/>
      <w:r>
        <w:rPr>
          <w:rFonts w:ascii="Times New Roman" w:hAnsi="Times New Roman"/>
          <w:sz w:val="22"/>
          <w:u w:val="single"/>
        </w:rPr>
        <w:t>2.  Amortization of Unfunded Actuarial Accrued Liability (UAAL)</w:t>
      </w:r>
      <w:bookmarkEnd w:id="14"/>
    </w:p>
    <w:p w:rsidR="00EB26F9" w:rsidRDefault="00EB26F9">
      <w:pPr>
        <w:tabs>
          <w:tab w:val="left" w:pos="-720"/>
        </w:tabs>
        <w:suppressAutoHyphens/>
      </w:pPr>
    </w:p>
    <w:p w:rsidR="00EB26F9" w:rsidRDefault="00EB26F9">
      <w:pPr>
        <w:tabs>
          <w:tab w:val="left" w:pos="-720"/>
        </w:tabs>
        <w:suppressAutoHyphens/>
      </w:pPr>
      <w:r>
        <w:tab/>
        <w:t xml:space="preserve">If actuarial assumptions are borne out by experience, the </w:t>
      </w:r>
      <w:r>
        <w:rPr>
          <w:noProof/>
        </w:rPr>
        <w:t>College</w:t>
      </w:r>
      <w:r>
        <w:t xml:space="preserve"> will fully accrue retiree benefits by expensing an amount each year that equals the normal cost. If no accruals had taken place in the past, there would be a shortfall of many years' accruals, accumulated interest and forfeitures for terminated or deceased employees. This shortfall is called the actuarial accrued liability (AAL). We calculated the AAL as the APVTPB minus the present value of future normal costs</w:t>
      </w:r>
      <w:r>
        <w:rPr>
          <w:color w:val="000000"/>
          <w:szCs w:val="22"/>
        </w:rPr>
        <w:t>.</w:t>
      </w:r>
    </w:p>
    <w:p w:rsidR="00EB26F9" w:rsidRDefault="00EB26F9">
      <w:pPr>
        <w:tabs>
          <w:tab w:val="left" w:pos="-720"/>
        </w:tabs>
        <w:suppressAutoHyphens/>
      </w:pPr>
    </w:p>
    <w:p w:rsidR="00EB26F9" w:rsidRDefault="00EB26F9">
      <w:pPr>
        <w:tabs>
          <w:tab w:val="left" w:pos="-720"/>
        </w:tabs>
        <w:suppressAutoHyphens/>
      </w:pPr>
      <w:r>
        <w:tab/>
        <w:t xml:space="preserve">The initial UAAL was amortized using a closed amortization period of </w:t>
      </w:r>
      <w:r w:rsidR="00772E45">
        <w:t>2</w:t>
      </w:r>
      <w:r>
        <w:t xml:space="preserve">0 years. The </w:t>
      </w:r>
      <w:r>
        <w:rPr>
          <w:noProof/>
        </w:rPr>
        <w:t>College</w:t>
      </w:r>
      <w:r>
        <w:t xml:space="preserve"> can amortize the remaining or residual UAAL over many years. The table below shows the annual amount necessary to amortize the UAAL over a period of </w:t>
      </w:r>
      <w:r>
        <w:rPr>
          <w:noProof/>
        </w:rPr>
        <w:t>30</w:t>
      </w:r>
      <w:r>
        <w:t xml:space="preserve"> years at </w:t>
      </w:r>
      <w:r>
        <w:rPr>
          <w:noProof/>
        </w:rPr>
        <w:t>7</w:t>
      </w:r>
      <w:r>
        <w:t xml:space="preserve">% interest. (Thirty years is the longest amortization period allowable under GASB 43 and 45.) GASB 43 and 45 will allow amortizing the UAAL using either payments that stay the same as a dollar amount, or payments that are a flat percentage of covered payroll over time. The figures below reflect the </w:t>
      </w:r>
      <w:r>
        <w:rPr>
          <w:noProof/>
        </w:rPr>
        <w:t>level percentage of payroll</w:t>
      </w:r>
      <w:r>
        <w:t xml:space="preserve"> method. </w:t>
      </w:r>
      <w:r>
        <w:rPr>
          <w:color w:val="000000"/>
          <w:szCs w:val="22"/>
        </w:rPr>
        <w:t xml:space="preserve"> This amortization payment would increase each year based on covered payroll.</w:t>
      </w:r>
    </w:p>
    <w:p w:rsidR="00EB26F9" w:rsidRDefault="00EB26F9">
      <w:pPr>
        <w:tabs>
          <w:tab w:val="left" w:pos="-720"/>
        </w:tabs>
        <w:suppressAutoHyphens/>
        <w:rPr>
          <w:snapToGrid/>
          <w:spacing w:val="0"/>
          <w:sz w:val="20"/>
        </w:rPr>
      </w:pPr>
    </w:p>
    <w:tbl>
      <w:tblPr>
        <w:tblW w:w="10200" w:type="dxa"/>
        <w:tblInd w:w="78" w:type="dxa"/>
        <w:tblLayout w:type="fixed"/>
        <w:tblLook w:val="0000"/>
      </w:tblPr>
      <w:tblGrid>
        <w:gridCol w:w="4080"/>
        <w:gridCol w:w="1530"/>
        <w:gridCol w:w="1530"/>
        <w:gridCol w:w="1530"/>
        <w:gridCol w:w="1530"/>
      </w:tblGrid>
      <w:tr w:rsidR="002548E2" w:rsidTr="00772E45">
        <w:trPr>
          <w:trHeight w:val="290"/>
        </w:trPr>
        <w:tc>
          <w:tcPr>
            <w:tcW w:w="10200" w:type="dxa"/>
            <w:gridSpan w:val="5"/>
            <w:tcBorders>
              <w:top w:val="nil"/>
              <w:left w:val="nil"/>
              <w:bottom w:val="nil"/>
              <w:right w:val="nil"/>
            </w:tcBorders>
          </w:tcPr>
          <w:p w:rsidR="002548E2" w:rsidRDefault="002548E2">
            <w:pPr>
              <w:autoSpaceDE w:val="0"/>
              <w:autoSpaceDN w:val="0"/>
              <w:adjustRightInd w:val="0"/>
              <w:rPr>
                <w:color w:val="000000"/>
                <w:szCs w:val="22"/>
              </w:rPr>
            </w:pPr>
            <w:r>
              <w:rPr>
                <w:b/>
                <w:bCs/>
                <w:color w:val="000000"/>
                <w:szCs w:val="22"/>
              </w:rPr>
              <w:t>Actuarial Accrued Liability</w:t>
            </w:r>
          </w:p>
        </w:tc>
      </w:tr>
      <w:tr w:rsidR="002548E2" w:rsidTr="00772E45">
        <w:trPr>
          <w:trHeight w:val="276"/>
        </w:trPr>
        <w:tc>
          <w:tcPr>
            <w:tcW w:w="4080" w:type="dxa"/>
            <w:tcBorders>
              <w:top w:val="nil"/>
              <w:left w:val="nil"/>
              <w:bottom w:val="nil"/>
              <w:right w:val="nil"/>
            </w:tcBorders>
          </w:tcPr>
          <w:p w:rsidR="002548E2" w:rsidRDefault="002548E2">
            <w:pPr>
              <w:autoSpaceDE w:val="0"/>
              <w:autoSpaceDN w:val="0"/>
              <w:adjustRightInd w:val="0"/>
              <w:rPr>
                <w:b/>
                <w:bCs/>
                <w:color w:val="000000"/>
                <w:szCs w:val="22"/>
              </w:rPr>
            </w:pPr>
            <w:r>
              <w:rPr>
                <w:b/>
                <w:bCs/>
                <w:color w:val="000000"/>
                <w:szCs w:val="22"/>
              </w:rPr>
              <w:t>as of May 1, 2012</w:t>
            </w:r>
          </w:p>
        </w:tc>
        <w:tc>
          <w:tcPr>
            <w:tcW w:w="1530"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Total</w:t>
            </w:r>
          </w:p>
        </w:tc>
        <w:tc>
          <w:tcPr>
            <w:tcW w:w="1530"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Faculty</w:t>
            </w:r>
          </w:p>
        </w:tc>
        <w:tc>
          <w:tcPr>
            <w:tcW w:w="1530"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Classified</w:t>
            </w:r>
          </w:p>
        </w:tc>
        <w:tc>
          <w:tcPr>
            <w:tcW w:w="1530"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Management</w:t>
            </w:r>
          </w:p>
        </w:tc>
      </w:tr>
      <w:tr w:rsidR="002548E2" w:rsidTr="00772E45">
        <w:trPr>
          <w:trHeight w:val="290"/>
        </w:trPr>
        <w:tc>
          <w:tcPr>
            <w:tcW w:w="4080" w:type="dxa"/>
            <w:tcBorders>
              <w:top w:val="nil"/>
              <w:left w:val="nil"/>
              <w:bottom w:val="nil"/>
              <w:right w:val="nil"/>
            </w:tcBorders>
          </w:tcPr>
          <w:p w:rsidR="002548E2" w:rsidRDefault="002548E2">
            <w:pPr>
              <w:autoSpaceDE w:val="0"/>
              <w:autoSpaceDN w:val="0"/>
              <w:adjustRightInd w:val="0"/>
              <w:rPr>
                <w:color w:val="000000"/>
                <w:szCs w:val="22"/>
              </w:rPr>
            </w:pPr>
            <w:r>
              <w:rPr>
                <w:color w:val="000000"/>
                <w:szCs w:val="22"/>
              </w:rPr>
              <w:t>Active: Pre-65</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$26,798,994</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$8,839,944</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$15,207,095</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$2,751,955</w:t>
            </w:r>
          </w:p>
        </w:tc>
      </w:tr>
      <w:tr w:rsidR="002548E2" w:rsidTr="00772E45">
        <w:trPr>
          <w:trHeight w:val="290"/>
        </w:trPr>
        <w:tc>
          <w:tcPr>
            <w:tcW w:w="4080" w:type="dxa"/>
            <w:tcBorders>
              <w:top w:val="nil"/>
              <w:left w:val="nil"/>
              <w:bottom w:val="nil"/>
              <w:right w:val="nil"/>
            </w:tcBorders>
          </w:tcPr>
          <w:p w:rsidR="002548E2" w:rsidRDefault="002548E2">
            <w:pPr>
              <w:autoSpaceDE w:val="0"/>
              <w:autoSpaceDN w:val="0"/>
              <w:adjustRightInd w:val="0"/>
              <w:rPr>
                <w:color w:val="000000"/>
                <w:szCs w:val="22"/>
              </w:rPr>
            </w:pPr>
            <w:r>
              <w:rPr>
                <w:color w:val="000000"/>
                <w:szCs w:val="22"/>
              </w:rPr>
              <w:t>Post-65</w:t>
            </w: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$29,027,437</w:t>
            </w: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$11,383,894</w:t>
            </w: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$14,582,780</w:t>
            </w: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$3,060,763</w:t>
            </w:r>
          </w:p>
        </w:tc>
      </w:tr>
      <w:tr w:rsidR="002548E2" w:rsidTr="00772E45">
        <w:trPr>
          <w:trHeight w:val="290"/>
        </w:trPr>
        <w:tc>
          <w:tcPr>
            <w:tcW w:w="4080" w:type="dxa"/>
            <w:tcBorders>
              <w:top w:val="nil"/>
              <w:left w:val="nil"/>
              <w:bottom w:val="nil"/>
              <w:right w:val="nil"/>
            </w:tcBorders>
          </w:tcPr>
          <w:p w:rsidR="002548E2" w:rsidRDefault="002548E2">
            <w:pPr>
              <w:autoSpaceDE w:val="0"/>
              <w:autoSpaceDN w:val="0"/>
              <w:adjustRightInd w:val="0"/>
              <w:rPr>
                <w:color w:val="000000"/>
                <w:szCs w:val="22"/>
              </w:rPr>
            </w:pPr>
            <w:r>
              <w:rPr>
                <w:color w:val="000000"/>
                <w:szCs w:val="22"/>
              </w:rPr>
              <w:t>Subtotal</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$55,826,431</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$20,223,838</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$29,789,875</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$5,812,718</w:t>
            </w:r>
          </w:p>
        </w:tc>
      </w:tr>
      <w:tr w:rsidR="002548E2" w:rsidTr="00772E45">
        <w:trPr>
          <w:trHeight w:val="173"/>
        </w:trPr>
        <w:tc>
          <w:tcPr>
            <w:tcW w:w="4080" w:type="dxa"/>
            <w:tcBorders>
              <w:top w:val="nil"/>
              <w:left w:val="nil"/>
              <w:bottom w:val="nil"/>
              <w:right w:val="nil"/>
            </w:tcBorders>
          </w:tcPr>
          <w:p w:rsidR="002548E2" w:rsidRDefault="002548E2">
            <w:pPr>
              <w:autoSpaceDE w:val="0"/>
              <w:autoSpaceDN w:val="0"/>
              <w:adjustRightInd w:val="0"/>
              <w:rPr>
                <w:color w:val="000000"/>
                <w:szCs w:val="22"/>
              </w:rPr>
            </w:pP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p>
        </w:tc>
      </w:tr>
      <w:tr w:rsidR="002548E2" w:rsidTr="00772E45">
        <w:trPr>
          <w:trHeight w:val="290"/>
        </w:trPr>
        <w:tc>
          <w:tcPr>
            <w:tcW w:w="4080" w:type="dxa"/>
            <w:tcBorders>
              <w:top w:val="nil"/>
              <w:left w:val="nil"/>
              <w:bottom w:val="nil"/>
              <w:right w:val="nil"/>
            </w:tcBorders>
          </w:tcPr>
          <w:p w:rsidR="002548E2" w:rsidRDefault="002548E2">
            <w:pPr>
              <w:autoSpaceDE w:val="0"/>
              <w:autoSpaceDN w:val="0"/>
              <w:adjustRightInd w:val="0"/>
              <w:rPr>
                <w:color w:val="000000"/>
                <w:szCs w:val="22"/>
              </w:rPr>
            </w:pPr>
            <w:r>
              <w:rPr>
                <w:color w:val="000000"/>
                <w:szCs w:val="22"/>
              </w:rPr>
              <w:t>Retiree: Pre-65</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$11,845,512</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$1,573,998</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$7,244,690</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$3,026,824</w:t>
            </w:r>
          </w:p>
        </w:tc>
      </w:tr>
      <w:tr w:rsidR="002548E2" w:rsidTr="00772E45">
        <w:trPr>
          <w:trHeight w:val="290"/>
        </w:trPr>
        <w:tc>
          <w:tcPr>
            <w:tcW w:w="4080" w:type="dxa"/>
            <w:tcBorders>
              <w:top w:val="nil"/>
              <w:left w:val="nil"/>
              <w:bottom w:val="nil"/>
              <w:right w:val="nil"/>
            </w:tcBorders>
          </w:tcPr>
          <w:p w:rsidR="002548E2" w:rsidRDefault="002548E2">
            <w:pPr>
              <w:autoSpaceDE w:val="0"/>
              <w:autoSpaceDN w:val="0"/>
              <w:adjustRightInd w:val="0"/>
              <w:rPr>
                <w:color w:val="000000"/>
                <w:szCs w:val="22"/>
              </w:rPr>
            </w:pPr>
            <w:r>
              <w:rPr>
                <w:color w:val="000000"/>
                <w:szCs w:val="22"/>
              </w:rPr>
              <w:t>Post-65</w:t>
            </w: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$31,424,705</w:t>
            </w: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$14,252,427</w:t>
            </w: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$10,142,725</w:t>
            </w: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r>
              <w:rPr>
                <w:color w:val="000000"/>
                <w:szCs w:val="22"/>
              </w:rPr>
              <w:t>$7,029,553</w:t>
            </w:r>
          </w:p>
        </w:tc>
      </w:tr>
      <w:tr w:rsidR="002548E2" w:rsidTr="00772E45">
        <w:trPr>
          <w:trHeight w:val="290"/>
        </w:trPr>
        <w:tc>
          <w:tcPr>
            <w:tcW w:w="4080" w:type="dxa"/>
            <w:tcBorders>
              <w:top w:val="nil"/>
              <w:left w:val="nil"/>
              <w:bottom w:val="nil"/>
              <w:right w:val="nil"/>
            </w:tcBorders>
          </w:tcPr>
          <w:p w:rsidR="002548E2" w:rsidRDefault="002548E2">
            <w:pPr>
              <w:autoSpaceDE w:val="0"/>
              <w:autoSpaceDN w:val="0"/>
              <w:adjustRightInd w:val="0"/>
              <w:rPr>
                <w:color w:val="000000"/>
                <w:szCs w:val="22"/>
              </w:rPr>
            </w:pPr>
            <w:r>
              <w:rPr>
                <w:color w:val="000000"/>
                <w:szCs w:val="22"/>
              </w:rPr>
              <w:t>Subtotal</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$43,270,217</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$15,826,425</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$17,387,415</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$10,056,377</w:t>
            </w:r>
          </w:p>
        </w:tc>
      </w:tr>
      <w:tr w:rsidR="002548E2" w:rsidTr="00772E45">
        <w:trPr>
          <w:trHeight w:val="173"/>
        </w:trPr>
        <w:tc>
          <w:tcPr>
            <w:tcW w:w="4080" w:type="dxa"/>
            <w:tcBorders>
              <w:top w:val="nil"/>
              <w:left w:val="nil"/>
              <w:bottom w:val="nil"/>
              <w:right w:val="nil"/>
            </w:tcBorders>
          </w:tcPr>
          <w:p w:rsidR="002548E2" w:rsidRDefault="002548E2">
            <w:pPr>
              <w:autoSpaceDE w:val="0"/>
              <w:autoSpaceDN w:val="0"/>
              <w:adjustRightInd w:val="0"/>
              <w:rPr>
                <w:color w:val="000000"/>
                <w:szCs w:val="22"/>
              </w:rPr>
            </w:pP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p>
        </w:tc>
        <w:tc>
          <w:tcPr>
            <w:tcW w:w="1530" w:type="dxa"/>
            <w:tcBorders>
              <w:top w:val="nil"/>
              <w:left w:val="nil"/>
              <w:bottom w:val="single" w:sz="6" w:space="0" w:color="auto"/>
              <w:right w:val="nil"/>
            </w:tcBorders>
          </w:tcPr>
          <w:p w:rsidR="002548E2" w:rsidRDefault="002548E2">
            <w:pPr>
              <w:autoSpaceDE w:val="0"/>
              <w:autoSpaceDN w:val="0"/>
              <w:adjustRightInd w:val="0"/>
              <w:jc w:val="right"/>
              <w:rPr>
                <w:color w:val="000000"/>
                <w:szCs w:val="22"/>
              </w:rPr>
            </w:pPr>
          </w:p>
        </w:tc>
      </w:tr>
      <w:tr w:rsidR="002548E2" w:rsidTr="00772E45">
        <w:trPr>
          <w:trHeight w:val="290"/>
        </w:trPr>
        <w:tc>
          <w:tcPr>
            <w:tcW w:w="4080" w:type="dxa"/>
            <w:tcBorders>
              <w:top w:val="nil"/>
              <w:left w:val="nil"/>
              <w:bottom w:val="nil"/>
              <w:right w:val="nil"/>
            </w:tcBorders>
          </w:tcPr>
          <w:p w:rsidR="002548E2" w:rsidRDefault="002548E2">
            <w:pPr>
              <w:autoSpaceDE w:val="0"/>
              <w:autoSpaceDN w:val="0"/>
              <w:adjustRightInd w:val="0"/>
              <w:rPr>
                <w:color w:val="000000"/>
                <w:szCs w:val="22"/>
              </w:rPr>
            </w:pPr>
            <w:proofErr w:type="spellStart"/>
            <w:r>
              <w:rPr>
                <w:color w:val="000000"/>
                <w:szCs w:val="22"/>
              </w:rPr>
              <w:t>Subtot</w:t>
            </w:r>
            <w:proofErr w:type="spellEnd"/>
            <w:r>
              <w:rPr>
                <w:color w:val="000000"/>
                <w:szCs w:val="22"/>
              </w:rPr>
              <w:t xml:space="preserve"> Pre-65</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$38,644,505</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$10,413,941</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$22,451,785</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$5,778,779</w:t>
            </w:r>
          </w:p>
        </w:tc>
      </w:tr>
      <w:tr w:rsidR="002548E2" w:rsidTr="00772E45">
        <w:trPr>
          <w:trHeight w:val="290"/>
        </w:trPr>
        <w:tc>
          <w:tcPr>
            <w:tcW w:w="4080" w:type="dxa"/>
            <w:tcBorders>
              <w:top w:val="nil"/>
              <w:left w:val="nil"/>
              <w:bottom w:val="nil"/>
              <w:right w:val="nil"/>
            </w:tcBorders>
          </w:tcPr>
          <w:p w:rsidR="002548E2" w:rsidRDefault="002548E2">
            <w:pPr>
              <w:autoSpaceDE w:val="0"/>
              <w:autoSpaceDN w:val="0"/>
              <w:adjustRightInd w:val="0"/>
              <w:rPr>
                <w:color w:val="000000"/>
                <w:szCs w:val="22"/>
              </w:rPr>
            </w:pPr>
            <w:proofErr w:type="spellStart"/>
            <w:r>
              <w:rPr>
                <w:color w:val="000000"/>
                <w:szCs w:val="22"/>
              </w:rPr>
              <w:t>Subtot</w:t>
            </w:r>
            <w:proofErr w:type="spellEnd"/>
            <w:r>
              <w:rPr>
                <w:color w:val="000000"/>
                <w:szCs w:val="22"/>
              </w:rPr>
              <w:t xml:space="preserve"> Post-65</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$60,452,142</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$25,636,321</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$24,725,505</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$10,090,316</w:t>
            </w:r>
          </w:p>
        </w:tc>
      </w:tr>
      <w:tr w:rsidR="002548E2" w:rsidTr="00772E45">
        <w:trPr>
          <w:trHeight w:val="173"/>
        </w:trPr>
        <w:tc>
          <w:tcPr>
            <w:tcW w:w="4080" w:type="dxa"/>
            <w:tcBorders>
              <w:top w:val="nil"/>
              <w:left w:val="nil"/>
              <w:bottom w:val="nil"/>
              <w:right w:val="nil"/>
            </w:tcBorders>
          </w:tcPr>
          <w:p w:rsidR="002548E2" w:rsidRDefault="002548E2">
            <w:pPr>
              <w:autoSpaceDE w:val="0"/>
              <w:autoSpaceDN w:val="0"/>
              <w:adjustRightInd w:val="0"/>
              <w:rPr>
                <w:rFonts w:ascii="Arial" w:hAnsi="Arial" w:cs="Arial"/>
                <w:color w:val="000000"/>
                <w:szCs w:val="22"/>
              </w:rPr>
            </w:pPr>
          </w:p>
        </w:tc>
        <w:tc>
          <w:tcPr>
            <w:tcW w:w="1530" w:type="dxa"/>
            <w:tcBorders>
              <w:top w:val="single" w:sz="6" w:space="0" w:color="auto"/>
              <w:left w:val="nil"/>
              <w:bottom w:val="nil"/>
              <w:right w:val="nil"/>
            </w:tcBorders>
          </w:tcPr>
          <w:p w:rsidR="002548E2" w:rsidRDefault="002548E2">
            <w:pPr>
              <w:autoSpaceDE w:val="0"/>
              <w:autoSpaceDN w:val="0"/>
              <w:adjustRightInd w:val="0"/>
              <w:jc w:val="right"/>
              <w:rPr>
                <w:rFonts w:ascii="Arial" w:hAnsi="Arial" w:cs="Arial"/>
                <w:color w:val="000000"/>
                <w:szCs w:val="22"/>
              </w:rPr>
            </w:pPr>
          </w:p>
        </w:tc>
        <w:tc>
          <w:tcPr>
            <w:tcW w:w="1530" w:type="dxa"/>
            <w:tcBorders>
              <w:top w:val="single" w:sz="6" w:space="0" w:color="auto"/>
              <w:left w:val="nil"/>
              <w:bottom w:val="nil"/>
              <w:right w:val="nil"/>
            </w:tcBorders>
          </w:tcPr>
          <w:p w:rsidR="002548E2" w:rsidRDefault="002548E2">
            <w:pPr>
              <w:autoSpaceDE w:val="0"/>
              <w:autoSpaceDN w:val="0"/>
              <w:adjustRightInd w:val="0"/>
              <w:jc w:val="right"/>
              <w:rPr>
                <w:rFonts w:ascii="Arial" w:hAnsi="Arial" w:cs="Arial"/>
                <w:color w:val="000000"/>
                <w:szCs w:val="22"/>
              </w:rPr>
            </w:pPr>
          </w:p>
        </w:tc>
        <w:tc>
          <w:tcPr>
            <w:tcW w:w="1530" w:type="dxa"/>
            <w:tcBorders>
              <w:top w:val="single" w:sz="6" w:space="0" w:color="auto"/>
              <w:left w:val="nil"/>
              <w:bottom w:val="nil"/>
              <w:right w:val="nil"/>
            </w:tcBorders>
          </w:tcPr>
          <w:p w:rsidR="002548E2" w:rsidRDefault="002548E2">
            <w:pPr>
              <w:autoSpaceDE w:val="0"/>
              <w:autoSpaceDN w:val="0"/>
              <w:adjustRightInd w:val="0"/>
              <w:jc w:val="right"/>
              <w:rPr>
                <w:rFonts w:ascii="Arial" w:hAnsi="Arial" w:cs="Arial"/>
                <w:color w:val="000000"/>
                <w:szCs w:val="22"/>
              </w:rPr>
            </w:pPr>
          </w:p>
        </w:tc>
        <w:tc>
          <w:tcPr>
            <w:tcW w:w="1530" w:type="dxa"/>
            <w:tcBorders>
              <w:top w:val="single" w:sz="6" w:space="0" w:color="auto"/>
              <w:left w:val="nil"/>
              <w:bottom w:val="nil"/>
              <w:right w:val="nil"/>
            </w:tcBorders>
          </w:tcPr>
          <w:p w:rsidR="002548E2" w:rsidRDefault="002548E2">
            <w:pPr>
              <w:autoSpaceDE w:val="0"/>
              <w:autoSpaceDN w:val="0"/>
              <w:adjustRightInd w:val="0"/>
              <w:jc w:val="right"/>
              <w:rPr>
                <w:rFonts w:ascii="Arial" w:hAnsi="Arial" w:cs="Arial"/>
                <w:color w:val="000000"/>
                <w:szCs w:val="22"/>
              </w:rPr>
            </w:pPr>
          </w:p>
        </w:tc>
      </w:tr>
      <w:tr w:rsidR="002548E2" w:rsidTr="00772E45">
        <w:trPr>
          <w:trHeight w:val="290"/>
        </w:trPr>
        <w:tc>
          <w:tcPr>
            <w:tcW w:w="4080" w:type="dxa"/>
            <w:tcBorders>
              <w:top w:val="nil"/>
              <w:left w:val="nil"/>
              <w:right w:val="nil"/>
            </w:tcBorders>
          </w:tcPr>
          <w:p w:rsidR="002548E2" w:rsidRDefault="002548E2">
            <w:pPr>
              <w:autoSpaceDE w:val="0"/>
              <w:autoSpaceDN w:val="0"/>
              <w:adjustRightInd w:val="0"/>
              <w:rPr>
                <w:color w:val="000000"/>
                <w:szCs w:val="22"/>
              </w:rPr>
            </w:pPr>
            <w:r>
              <w:rPr>
                <w:color w:val="000000"/>
                <w:szCs w:val="22"/>
              </w:rPr>
              <w:t>Grand Total</w:t>
            </w:r>
          </w:p>
        </w:tc>
        <w:tc>
          <w:tcPr>
            <w:tcW w:w="1530" w:type="dxa"/>
            <w:tcBorders>
              <w:top w:val="nil"/>
              <w:left w:val="nil"/>
              <w:right w:val="nil"/>
            </w:tcBorders>
          </w:tcPr>
          <w:p w:rsidR="002548E2" w:rsidRDefault="002548E2">
            <w:pPr>
              <w:autoSpaceDE w:val="0"/>
              <w:autoSpaceDN w:val="0"/>
              <w:adjustRightInd w:val="0"/>
              <w:jc w:val="right"/>
              <w:rPr>
                <w:color w:val="000000"/>
                <w:szCs w:val="22"/>
              </w:rPr>
            </w:pPr>
            <w:r>
              <w:rPr>
                <w:color w:val="000000"/>
                <w:szCs w:val="22"/>
              </w:rPr>
              <w:t>$99,096,647</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$36,050,262</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$47,177,290</w:t>
            </w:r>
          </w:p>
        </w:tc>
        <w:tc>
          <w:tcPr>
            <w:tcW w:w="1530"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$15,869,095</w:t>
            </w:r>
          </w:p>
        </w:tc>
      </w:tr>
      <w:tr w:rsidR="00772E45" w:rsidTr="00772E45">
        <w:trPr>
          <w:gridAfter w:val="3"/>
          <w:wAfter w:w="4590" w:type="dxa"/>
          <w:trHeight w:val="290"/>
        </w:trPr>
        <w:tc>
          <w:tcPr>
            <w:tcW w:w="4080" w:type="dxa"/>
            <w:tcBorders>
              <w:top w:val="nil"/>
              <w:left w:val="nil"/>
              <w:right w:val="nil"/>
            </w:tcBorders>
          </w:tcPr>
          <w:p w:rsidR="00772E45" w:rsidRDefault="00772E45" w:rsidP="00772E45">
            <w:pPr>
              <w:autoSpaceDE w:val="0"/>
              <w:autoSpaceDN w:val="0"/>
              <w:adjustRightInd w:val="0"/>
              <w:rPr>
                <w:color w:val="000000"/>
                <w:szCs w:val="22"/>
              </w:rPr>
            </w:pPr>
            <w:r>
              <w:rPr>
                <w:color w:val="000000"/>
                <w:szCs w:val="22"/>
              </w:rPr>
              <w:t>Unamortized Initial UAAL</w:t>
            </w:r>
          </w:p>
        </w:tc>
        <w:tc>
          <w:tcPr>
            <w:tcW w:w="1530" w:type="dxa"/>
            <w:tcBorders>
              <w:top w:val="nil"/>
              <w:left w:val="nil"/>
              <w:right w:val="nil"/>
            </w:tcBorders>
          </w:tcPr>
          <w:p w:rsidR="00772E45" w:rsidRDefault="00772E45">
            <w:pPr>
              <w:autoSpaceDE w:val="0"/>
              <w:autoSpaceDN w:val="0"/>
              <w:adjustRightInd w:val="0"/>
              <w:jc w:val="right"/>
              <w:rPr>
                <w:color w:val="000000"/>
                <w:szCs w:val="22"/>
              </w:rPr>
            </w:pPr>
            <w:r>
              <w:rPr>
                <w:color w:val="000000"/>
                <w:szCs w:val="22"/>
              </w:rPr>
              <w:t>$51,155,113</w:t>
            </w:r>
          </w:p>
        </w:tc>
      </w:tr>
      <w:tr w:rsidR="00772E45" w:rsidTr="00772E45">
        <w:trPr>
          <w:gridAfter w:val="3"/>
          <w:wAfter w:w="4590" w:type="dxa"/>
          <w:trHeight w:val="290"/>
        </w:trPr>
        <w:tc>
          <w:tcPr>
            <w:tcW w:w="4080" w:type="dxa"/>
            <w:tcBorders>
              <w:left w:val="nil"/>
              <w:bottom w:val="nil"/>
              <w:right w:val="nil"/>
            </w:tcBorders>
          </w:tcPr>
          <w:p w:rsidR="00772E45" w:rsidRDefault="00772E45" w:rsidP="00772E45">
            <w:pPr>
              <w:autoSpaceDE w:val="0"/>
              <w:autoSpaceDN w:val="0"/>
              <w:adjustRightInd w:val="0"/>
              <w:rPr>
                <w:color w:val="000000"/>
                <w:szCs w:val="22"/>
              </w:rPr>
            </w:pPr>
            <w:r>
              <w:rPr>
                <w:color w:val="000000"/>
                <w:szCs w:val="22"/>
              </w:rPr>
              <w:t>Actuarial Value of Plan Assets at 4/30/12</w:t>
            </w:r>
          </w:p>
        </w:tc>
        <w:tc>
          <w:tcPr>
            <w:tcW w:w="1530" w:type="dxa"/>
            <w:tcBorders>
              <w:left w:val="nil"/>
              <w:bottom w:val="single" w:sz="6" w:space="0" w:color="auto"/>
              <w:right w:val="nil"/>
            </w:tcBorders>
          </w:tcPr>
          <w:p w:rsidR="00772E45" w:rsidRDefault="00772E45">
            <w:pPr>
              <w:autoSpaceDE w:val="0"/>
              <w:autoSpaceDN w:val="0"/>
              <w:adjustRightInd w:val="0"/>
              <w:jc w:val="right"/>
              <w:rPr>
                <w:color w:val="000000"/>
                <w:szCs w:val="22"/>
              </w:rPr>
            </w:pPr>
            <w:r>
              <w:rPr>
                <w:color w:val="000000"/>
                <w:szCs w:val="22"/>
              </w:rPr>
              <w:t>$43,568,462</w:t>
            </w:r>
          </w:p>
        </w:tc>
      </w:tr>
      <w:tr w:rsidR="00772E45" w:rsidTr="00772E45">
        <w:trPr>
          <w:gridAfter w:val="3"/>
          <w:wAfter w:w="4590" w:type="dxa"/>
          <w:trHeight w:val="290"/>
        </w:trPr>
        <w:tc>
          <w:tcPr>
            <w:tcW w:w="4080" w:type="dxa"/>
            <w:tcBorders>
              <w:top w:val="nil"/>
              <w:left w:val="nil"/>
              <w:bottom w:val="nil"/>
              <w:right w:val="nil"/>
            </w:tcBorders>
          </w:tcPr>
          <w:p w:rsidR="00772E45" w:rsidRDefault="00772E45" w:rsidP="00772E45">
            <w:pPr>
              <w:autoSpaceDE w:val="0"/>
              <w:autoSpaceDN w:val="0"/>
              <w:adjustRightInd w:val="0"/>
              <w:rPr>
                <w:color w:val="000000"/>
                <w:szCs w:val="22"/>
              </w:rPr>
            </w:pPr>
            <w:r>
              <w:rPr>
                <w:color w:val="000000"/>
                <w:szCs w:val="22"/>
              </w:rPr>
              <w:t>Unfunded Residual AAL</w:t>
            </w:r>
          </w:p>
        </w:tc>
        <w:tc>
          <w:tcPr>
            <w:tcW w:w="1530" w:type="dxa"/>
            <w:tcBorders>
              <w:top w:val="nil"/>
              <w:left w:val="nil"/>
              <w:bottom w:val="nil"/>
              <w:right w:val="nil"/>
            </w:tcBorders>
          </w:tcPr>
          <w:p w:rsidR="00772E45" w:rsidRDefault="00772E45" w:rsidP="00772E45">
            <w:pPr>
              <w:autoSpaceDE w:val="0"/>
              <w:autoSpaceDN w:val="0"/>
              <w:adjustRightInd w:val="0"/>
              <w:jc w:val="right"/>
              <w:rPr>
                <w:color w:val="000000"/>
                <w:szCs w:val="22"/>
              </w:rPr>
            </w:pPr>
            <w:r>
              <w:rPr>
                <w:color w:val="000000"/>
                <w:szCs w:val="22"/>
              </w:rPr>
              <w:t>$4,373,072</w:t>
            </w:r>
          </w:p>
        </w:tc>
      </w:tr>
      <w:tr w:rsidR="00772E45" w:rsidTr="00772E45">
        <w:trPr>
          <w:gridAfter w:val="3"/>
          <w:wAfter w:w="4590" w:type="dxa"/>
          <w:trHeight w:val="158"/>
        </w:trPr>
        <w:tc>
          <w:tcPr>
            <w:tcW w:w="4080" w:type="dxa"/>
            <w:tcBorders>
              <w:top w:val="nil"/>
              <w:left w:val="nil"/>
              <w:bottom w:val="nil"/>
              <w:right w:val="nil"/>
            </w:tcBorders>
          </w:tcPr>
          <w:p w:rsidR="00772E45" w:rsidRDefault="00772E45" w:rsidP="00772E45">
            <w:pPr>
              <w:autoSpaceDE w:val="0"/>
              <w:autoSpaceDN w:val="0"/>
              <w:adjustRightInd w:val="0"/>
              <w:rPr>
                <w:color w:val="000000"/>
                <w:szCs w:val="22"/>
              </w:rPr>
            </w:pPr>
          </w:p>
        </w:tc>
        <w:tc>
          <w:tcPr>
            <w:tcW w:w="1530" w:type="dxa"/>
            <w:tcBorders>
              <w:top w:val="nil"/>
              <w:left w:val="nil"/>
              <w:bottom w:val="nil"/>
              <w:right w:val="nil"/>
            </w:tcBorders>
          </w:tcPr>
          <w:p w:rsidR="00772E45" w:rsidRDefault="00772E45">
            <w:pPr>
              <w:autoSpaceDE w:val="0"/>
              <w:autoSpaceDN w:val="0"/>
              <w:adjustRightInd w:val="0"/>
              <w:jc w:val="right"/>
              <w:rPr>
                <w:color w:val="000000"/>
                <w:szCs w:val="22"/>
              </w:rPr>
            </w:pPr>
          </w:p>
        </w:tc>
      </w:tr>
      <w:tr w:rsidR="00772E45" w:rsidTr="00772E45">
        <w:trPr>
          <w:gridAfter w:val="3"/>
          <w:wAfter w:w="4590" w:type="dxa"/>
          <w:trHeight w:val="871"/>
        </w:trPr>
        <w:tc>
          <w:tcPr>
            <w:tcW w:w="4080" w:type="dxa"/>
            <w:tcBorders>
              <w:top w:val="nil"/>
              <w:left w:val="nil"/>
              <w:bottom w:val="nil"/>
              <w:right w:val="nil"/>
            </w:tcBorders>
          </w:tcPr>
          <w:p w:rsidR="00772E45" w:rsidRDefault="00772E45" w:rsidP="00772E45">
            <w:pPr>
              <w:autoSpaceDE w:val="0"/>
              <w:autoSpaceDN w:val="0"/>
              <w:adjustRightInd w:val="0"/>
              <w:rPr>
                <w:color w:val="000000"/>
                <w:szCs w:val="22"/>
              </w:rPr>
            </w:pPr>
            <w:r>
              <w:rPr>
                <w:color w:val="000000"/>
                <w:szCs w:val="22"/>
              </w:rPr>
              <w:t>Residual UAAL Amortization at 7.0% over 30 Years</w:t>
            </w:r>
          </w:p>
        </w:tc>
        <w:tc>
          <w:tcPr>
            <w:tcW w:w="1530" w:type="dxa"/>
            <w:tcBorders>
              <w:top w:val="nil"/>
              <w:left w:val="nil"/>
              <w:bottom w:val="nil"/>
              <w:right w:val="nil"/>
            </w:tcBorders>
          </w:tcPr>
          <w:p w:rsidR="00772E45" w:rsidRDefault="00772E45" w:rsidP="00772E45">
            <w:pPr>
              <w:autoSpaceDE w:val="0"/>
              <w:autoSpaceDN w:val="0"/>
              <w:adjustRightInd w:val="0"/>
              <w:jc w:val="right"/>
              <w:rPr>
                <w:color w:val="000000"/>
                <w:szCs w:val="22"/>
              </w:rPr>
            </w:pPr>
            <w:r>
              <w:rPr>
                <w:color w:val="000000"/>
                <w:szCs w:val="22"/>
              </w:rPr>
              <w:t>$249,291</w:t>
            </w:r>
          </w:p>
        </w:tc>
      </w:tr>
    </w:tbl>
    <w:p w:rsidR="00EB26F9" w:rsidRDefault="00EB26F9">
      <w:pPr>
        <w:tabs>
          <w:tab w:val="left" w:pos="-720"/>
        </w:tabs>
        <w:suppressAutoHyphens/>
      </w:pPr>
    </w:p>
    <w:p w:rsidR="00EB26F9" w:rsidRDefault="00EB26F9">
      <w:pPr>
        <w:pStyle w:val="Heading3"/>
        <w:rPr>
          <w:rFonts w:ascii="Times New Roman" w:hAnsi="Times New Roman"/>
          <w:sz w:val="22"/>
          <w:u w:val="single"/>
        </w:rPr>
      </w:pPr>
      <w:r>
        <w:tab/>
      </w:r>
      <w:bookmarkStart w:id="15" w:name="_Toc327518683"/>
      <w:r>
        <w:rPr>
          <w:rFonts w:ascii="Times New Roman" w:hAnsi="Times New Roman"/>
          <w:sz w:val="22"/>
          <w:u w:val="single"/>
        </w:rPr>
        <w:t>3.  Annual Required Contributions (ARC)</w:t>
      </w:r>
      <w:bookmarkEnd w:id="15"/>
    </w:p>
    <w:p w:rsidR="00EB26F9" w:rsidRDefault="00EB26F9">
      <w:pPr>
        <w:tabs>
          <w:tab w:val="left" w:pos="-720"/>
        </w:tabs>
        <w:suppressAutoHyphens/>
      </w:pPr>
    </w:p>
    <w:p w:rsidR="00EB26F9" w:rsidRDefault="00EB26F9">
      <w:pPr>
        <w:tabs>
          <w:tab w:val="left" w:pos="-720"/>
        </w:tabs>
        <w:suppressAutoHyphens/>
      </w:pPr>
      <w:r>
        <w:tab/>
        <w:t xml:space="preserve">If the </w:t>
      </w:r>
      <w:r>
        <w:rPr>
          <w:noProof/>
        </w:rPr>
        <w:t>College</w:t>
      </w:r>
      <w:r>
        <w:t xml:space="preserve"> determines retiree health plan expenses in accordance with GASB 43 and 45, costs will include both normal cost and one or more components of  UAAL amortization costs.  The sum of normal cost and UAAL amortization costs is called the Annual Required Contribution (ARC) and is shown below.</w:t>
      </w:r>
    </w:p>
    <w:p w:rsidR="00EB26F9" w:rsidRDefault="00EB26F9">
      <w:pPr>
        <w:tabs>
          <w:tab w:val="left" w:pos="-720"/>
        </w:tabs>
        <w:suppressAutoHyphens/>
        <w:rPr>
          <w:snapToGrid/>
          <w:spacing w:val="0"/>
          <w:sz w:val="20"/>
        </w:rPr>
      </w:pPr>
    </w:p>
    <w:tbl>
      <w:tblPr>
        <w:tblW w:w="5250" w:type="dxa"/>
        <w:tblInd w:w="78" w:type="dxa"/>
        <w:tblLayout w:type="fixed"/>
        <w:tblLook w:val="0000"/>
      </w:tblPr>
      <w:tblGrid>
        <w:gridCol w:w="3630"/>
        <w:gridCol w:w="1620"/>
      </w:tblGrid>
      <w:tr w:rsidR="00772E45" w:rsidTr="00772E45">
        <w:trPr>
          <w:trHeight w:val="290"/>
        </w:trPr>
        <w:tc>
          <w:tcPr>
            <w:tcW w:w="5250" w:type="dxa"/>
            <w:gridSpan w:val="2"/>
            <w:tcBorders>
              <w:top w:val="nil"/>
              <w:left w:val="nil"/>
              <w:bottom w:val="nil"/>
              <w:right w:val="nil"/>
            </w:tcBorders>
          </w:tcPr>
          <w:p w:rsidR="00772E45" w:rsidRDefault="00772E45" w:rsidP="00772E45">
            <w:pPr>
              <w:autoSpaceDE w:val="0"/>
              <w:autoSpaceDN w:val="0"/>
              <w:adjustRightInd w:val="0"/>
              <w:rPr>
                <w:color w:val="000000"/>
                <w:szCs w:val="22"/>
              </w:rPr>
            </w:pPr>
            <w:r>
              <w:rPr>
                <w:b/>
                <w:bCs/>
                <w:color w:val="000000"/>
                <w:szCs w:val="22"/>
              </w:rPr>
              <w:t>Annual Required Contribution (ARC) Year Beginning</w:t>
            </w:r>
          </w:p>
        </w:tc>
      </w:tr>
      <w:tr w:rsidR="00772E45" w:rsidTr="00772E45">
        <w:trPr>
          <w:trHeight w:val="276"/>
        </w:trPr>
        <w:tc>
          <w:tcPr>
            <w:tcW w:w="3630" w:type="dxa"/>
            <w:tcBorders>
              <w:top w:val="nil"/>
              <w:left w:val="nil"/>
              <w:bottom w:val="nil"/>
              <w:right w:val="nil"/>
            </w:tcBorders>
          </w:tcPr>
          <w:p w:rsidR="00772E45" w:rsidRDefault="00772E45" w:rsidP="00772E45">
            <w:pPr>
              <w:autoSpaceDE w:val="0"/>
              <w:autoSpaceDN w:val="0"/>
              <w:adjustRightInd w:val="0"/>
              <w:rPr>
                <w:b/>
                <w:bCs/>
                <w:color w:val="000000"/>
                <w:szCs w:val="22"/>
              </w:rPr>
            </w:pPr>
            <w:r>
              <w:rPr>
                <w:b/>
                <w:bCs/>
                <w:color w:val="000000"/>
                <w:szCs w:val="22"/>
              </w:rPr>
              <w:t>May 1, 2012</w:t>
            </w:r>
          </w:p>
        </w:tc>
        <w:tc>
          <w:tcPr>
            <w:tcW w:w="1620" w:type="dxa"/>
            <w:tcBorders>
              <w:top w:val="nil"/>
              <w:left w:val="nil"/>
              <w:bottom w:val="nil"/>
              <w:right w:val="nil"/>
            </w:tcBorders>
            <w:vAlign w:val="bottom"/>
          </w:tcPr>
          <w:p w:rsidR="00772E45" w:rsidRDefault="00772E45" w:rsidP="00772E45">
            <w:pPr>
              <w:autoSpaceDE w:val="0"/>
              <w:autoSpaceDN w:val="0"/>
              <w:adjustRightInd w:val="0"/>
              <w:jc w:val="right"/>
              <w:rPr>
                <w:b/>
                <w:bCs/>
                <w:color w:val="000000"/>
                <w:szCs w:val="22"/>
                <w:u w:val="single"/>
              </w:rPr>
            </w:pPr>
            <w:r>
              <w:rPr>
                <w:b/>
                <w:bCs/>
                <w:color w:val="000000"/>
                <w:szCs w:val="22"/>
                <w:u w:val="single"/>
              </w:rPr>
              <w:t>Total</w:t>
            </w:r>
          </w:p>
        </w:tc>
      </w:tr>
      <w:tr w:rsidR="00772E45" w:rsidTr="00772E45">
        <w:trPr>
          <w:trHeight w:val="290"/>
        </w:trPr>
        <w:tc>
          <w:tcPr>
            <w:tcW w:w="3630" w:type="dxa"/>
            <w:tcBorders>
              <w:top w:val="nil"/>
              <w:left w:val="nil"/>
              <w:right w:val="nil"/>
            </w:tcBorders>
          </w:tcPr>
          <w:p w:rsidR="00772E45" w:rsidRDefault="00772E45" w:rsidP="00772E45">
            <w:pPr>
              <w:autoSpaceDE w:val="0"/>
              <w:autoSpaceDN w:val="0"/>
              <w:adjustRightInd w:val="0"/>
              <w:rPr>
                <w:color w:val="000000"/>
                <w:szCs w:val="22"/>
              </w:rPr>
            </w:pPr>
            <w:r>
              <w:rPr>
                <w:color w:val="000000"/>
                <w:szCs w:val="22"/>
              </w:rPr>
              <w:t>Normal Cost</w:t>
            </w:r>
          </w:p>
        </w:tc>
        <w:tc>
          <w:tcPr>
            <w:tcW w:w="1620" w:type="dxa"/>
            <w:tcBorders>
              <w:top w:val="nil"/>
              <w:left w:val="nil"/>
              <w:right w:val="nil"/>
            </w:tcBorders>
          </w:tcPr>
          <w:p w:rsidR="00772E45" w:rsidRDefault="00772E45" w:rsidP="00772E45">
            <w:pPr>
              <w:autoSpaceDE w:val="0"/>
              <w:autoSpaceDN w:val="0"/>
              <w:adjustRightInd w:val="0"/>
              <w:jc w:val="right"/>
              <w:rPr>
                <w:color w:val="000000"/>
                <w:szCs w:val="22"/>
              </w:rPr>
            </w:pPr>
            <w:r>
              <w:rPr>
                <w:color w:val="000000"/>
                <w:szCs w:val="22"/>
              </w:rPr>
              <w:t>$3,578,372</w:t>
            </w:r>
          </w:p>
        </w:tc>
      </w:tr>
      <w:tr w:rsidR="00772E45" w:rsidTr="00772E45">
        <w:trPr>
          <w:trHeight w:val="290"/>
        </w:trPr>
        <w:tc>
          <w:tcPr>
            <w:tcW w:w="3630" w:type="dxa"/>
            <w:tcBorders>
              <w:top w:val="nil"/>
              <w:left w:val="nil"/>
              <w:right w:val="nil"/>
            </w:tcBorders>
          </w:tcPr>
          <w:p w:rsidR="00772E45" w:rsidRDefault="00772E45" w:rsidP="00772E45">
            <w:pPr>
              <w:autoSpaceDE w:val="0"/>
              <w:autoSpaceDN w:val="0"/>
              <w:adjustRightInd w:val="0"/>
              <w:rPr>
                <w:color w:val="000000"/>
                <w:szCs w:val="22"/>
              </w:rPr>
            </w:pPr>
            <w:r>
              <w:rPr>
                <w:color w:val="000000"/>
                <w:szCs w:val="22"/>
              </w:rPr>
              <w:t>Initial UAAL Amortization</w:t>
            </w:r>
          </w:p>
        </w:tc>
        <w:tc>
          <w:tcPr>
            <w:tcW w:w="1620" w:type="dxa"/>
            <w:tcBorders>
              <w:top w:val="nil"/>
              <w:left w:val="nil"/>
              <w:right w:val="nil"/>
            </w:tcBorders>
          </w:tcPr>
          <w:p w:rsidR="00772E45" w:rsidRDefault="00772E45" w:rsidP="00772E45">
            <w:pPr>
              <w:autoSpaceDE w:val="0"/>
              <w:autoSpaceDN w:val="0"/>
              <w:adjustRightInd w:val="0"/>
              <w:jc w:val="right"/>
              <w:rPr>
                <w:color w:val="000000"/>
                <w:szCs w:val="22"/>
              </w:rPr>
            </w:pPr>
            <w:r>
              <w:rPr>
                <w:color w:val="000000"/>
                <w:szCs w:val="22"/>
              </w:rPr>
              <w:t>$4,296,912</w:t>
            </w:r>
          </w:p>
        </w:tc>
      </w:tr>
      <w:tr w:rsidR="00772E45" w:rsidTr="00772E45">
        <w:trPr>
          <w:trHeight w:val="290"/>
        </w:trPr>
        <w:tc>
          <w:tcPr>
            <w:tcW w:w="3630" w:type="dxa"/>
            <w:tcBorders>
              <w:left w:val="nil"/>
              <w:bottom w:val="nil"/>
              <w:right w:val="nil"/>
            </w:tcBorders>
          </w:tcPr>
          <w:p w:rsidR="00772E45" w:rsidRDefault="00772E45" w:rsidP="00772E45">
            <w:pPr>
              <w:autoSpaceDE w:val="0"/>
              <w:autoSpaceDN w:val="0"/>
              <w:adjustRightInd w:val="0"/>
              <w:rPr>
                <w:color w:val="000000"/>
                <w:szCs w:val="22"/>
              </w:rPr>
            </w:pPr>
            <w:r>
              <w:rPr>
                <w:color w:val="000000"/>
                <w:szCs w:val="22"/>
              </w:rPr>
              <w:t>Residual UAAL Amortization</w:t>
            </w:r>
          </w:p>
        </w:tc>
        <w:tc>
          <w:tcPr>
            <w:tcW w:w="1620" w:type="dxa"/>
            <w:tcBorders>
              <w:left w:val="nil"/>
              <w:bottom w:val="single" w:sz="6" w:space="0" w:color="auto"/>
              <w:right w:val="nil"/>
            </w:tcBorders>
          </w:tcPr>
          <w:p w:rsidR="00772E45" w:rsidRDefault="00772E45" w:rsidP="00772E45">
            <w:pPr>
              <w:autoSpaceDE w:val="0"/>
              <w:autoSpaceDN w:val="0"/>
              <w:adjustRightInd w:val="0"/>
              <w:jc w:val="right"/>
              <w:rPr>
                <w:color w:val="000000"/>
                <w:szCs w:val="22"/>
              </w:rPr>
            </w:pPr>
            <w:r>
              <w:t>$249</w:t>
            </w:r>
            <w:r>
              <w:rPr>
                <w:noProof/>
              </w:rPr>
              <w:t>,291</w:t>
            </w:r>
          </w:p>
        </w:tc>
      </w:tr>
      <w:tr w:rsidR="00772E45" w:rsidTr="00772E45">
        <w:trPr>
          <w:trHeight w:val="290"/>
        </w:trPr>
        <w:tc>
          <w:tcPr>
            <w:tcW w:w="3630" w:type="dxa"/>
            <w:tcBorders>
              <w:top w:val="nil"/>
              <w:left w:val="nil"/>
              <w:bottom w:val="nil"/>
              <w:right w:val="nil"/>
            </w:tcBorders>
          </w:tcPr>
          <w:p w:rsidR="00772E45" w:rsidRDefault="00772E45" w:rsidP="00772E45">
            <w:pPr>
              <w:autoSpaceDE w:val="0"/>
              <w:autoSpaceDN w:val="0"/>
              <w:adjustRightInd w:val="0"/>
              <w:jc w:val="right"/>
              <w:rPr>
                <w:color w:val="000000"/>
                <w:szCs w:val="22"/>
              </w:rPr>
            </w:pPr>
            <w:r>
              <w:rPr>
                <w:color w:val="000000"/>
                <w:szCs w:val="22"/>
              </w:rPr>
              <w:t>ARC</w:t>
            </w:r>
          </w:p>
        </w:tc>
        <w:tc>
          <w:tcPr>
            <w:tcW w:w="1620" w:type="dxa"/>
            <w:tcBorders>
              <w:top w:val="nil"/>
              <w:left w:val="nil"/>
              <w:bottom w:val="nil"/>
              <w:right w:val="nil"/>
            </w:tcBorders>
          </w:tcPr>
          <w:p w:rsidR="00772E45" w:rsidRDefault="00772E45" w:rsidP="00772E45">
            <w:pPr>
              <w:autoSpaceDE w:val="0"/>
              <w:autoSpaceDN w:val="0"/>
              <w:adjustRightInd w:val="0"/>
              <w:jc w:val="right"/>
              <w:rPr>
                <w:color w:val="000000"/>
                <w:szCs w:val="22"/>
              </w:rPr>
            </w:pPr>
            <w:r>
              <w:rPr>
                <w:color w:val="000000"/>
                <w:szCs w:val="22"/>
              </w:rPr>
              <w:t>$8,124,575</w:t>
            </w:r>
          </w:p>
        </w:tc>
      </w:tr>
    </w:tbl>
    <w:p w:rsidR="00772E45" w:rsidRDefault="00772E45" w:rsidP="00772E45">
      <w:pPr>
        <w:tabs>
          <w:tab w:val="left" w:pos="-720"/>
        </w:tabs>
        <w:suppressAutoHyphens/>
      </w:pPr>
    </w:p>
    <w:p w:rsidR="00EB26F9" w:rsidRDefault="00EB26F9">
      <w:pPr>
        <w:tabs>
          <w:tab w:val="left" w:pos="-720"/>
        </w:tabs>
        <w:suppressAutoHyphens/>
      </w:pPr>
      <w:r>
        <w:tab/>
        <w:t xml:space="preserve">The normal cost remains as long as there are active employees who may </w:t>
      </w:r>
      <w:proofErr w:type="spellStart"/>
      <w:r>
        <w:t>some day</w:t>
      </w:r>
      <w:proofErr w:type="spellEnd"/>
      <w:r>
        <w:t xml:space="preserve"> qualify for </w:t>
      </w:r>
      <w:r>
        <w:rPr>
          <w:noProof/>
        </w:rPr>
        <w:t>College</w:t>
      </w:r>
      <w:r>
        <w:t>-paid retiree health benefits.</w:t>
      </w:r>
      <w:r>
        <w:rPr>
          <w:color w:val="000000"/>
          <w:szCs w:val="22"/>
        </w:rPr>
        <w:t xml:space="preserve"> This normal cost would increase each year based on covered payroll.</w:t>
      </w:r>
    </w:p>
    <w:p w:rsidR="00EB26F9" w:rsidRDefault="00EB26F9">
      <w:pPr>
        <w:pStyle w:val="Heading3"/>
        <w:rPr>
          <w:rFonts w:ascii="Times New Roman" w:hAnsi="Times New Roman"/>
          <w:sz w:val="22"/>
          <w:u w:val="single"/>
        </w:rPr>
      </w:pPr>
      <w:r>
        <w:tab/>
      </w:r>
      <w:bookmarkStart w:id="16" w:name="_Toc327518684"/>
      <w:r>
        <w:rPr>
          <w:rFonts w:ascii="Times New Roman" w:hAnsi="Times New Roman"/>
          <w:sz w:val="22"/>
          <w:u w:val="single"/>
        </w:rPr>
        <w:t>4.  Other Components of Annual OPEB Cost (AOC)</w:t>
      </w:r>
      <w:bookmarkEnd w:id="16"/>
    </w:p>
    <w:p w:rsidR="00EB26F9" w:rsidRDefault="00EB26F9">
      <w:pPr>
        <w:tabs>
          <w:tab w:val="left" w:pos="-720"/>
        </w:tabs>
        <w:suppressAutoHyphens/>
      </w:pPr>
    </w:p>
    <w:p w:rsidR="00EB26F9" w:rsidRDefault="00EB26F9">
      <w:pPr>
        <w:tabs>
          <w:tab w:val="left" w:pos="-720"/>
        </w:tabs>
        <w:suppressAutoHyphens/>
      </w:pPr>
      <w:r>
        <w:tab/>
      </w:r>
      <w:r w:rsidR="00772E45">
        <w:t>E</w:t>
      </w:r>
      <w:r>
        <w:t>xpense and liability amounts may include more components of cost than the normal cost plus amortization of the UAAL. This will apply to employers that don’t fully fund the Annual Required Cost (ARC) through an irrevocable trust.</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r>
      <w:r>
        <w:sym w:font="Wingdings" w:char="F0D8"/>
      </w:r>
      <w:r>
        <w:tab/>
        <w:t>The annual OPEB cost (AOC) will include assumed interest on the net OPEB obligation (NOO). The annual OPEB cost will also include an amortization adjustment for the net OPEB obligation. (It should be noted that there is no NOO if the ARC is fully funded through a qualifying “plan”.)</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r>
      <w:r>
        <w:sym w:font="Wingdings" w:char="F0D8"/>
      </w:r>
      <w:r>
        <w:tab/>
        <w:t>The net OPEB obligation will equal the accumulated differences between the (AOC) and qualifying “plan” contributions.</w:t>
      </w:r>
    </w:p>
    <w:p w:rsidR="00EB26F9" w:rsidRDefault="00EB26F9">
      <w:pPr>
        <w:pStyle w:val="Heading1"/>
        <w:rPr>
          <w:rFonts w:ascii="Times New Roman" w:hAnsi="Times New Roman"/>
          <w:sz w:val="22"/>
        </w:rPr>
      </w:pPr>
      <w:r>
        <w:br w:type="page"/>
      </w:r>
      <w:r>
        <w:tab/>
      </w:r>
      <w:bookmarkStart w:id="17" w:name="_Toc327518685"/>
      <w:r>
        <w:rPr>
          <w:rFonts w:ascii="Times New Roman" w:hAnsi="Times New Roman"/>
          <w:sz w:val="22"/>
        </w:rPr>
        <w:t>PART IV: "PAY AS YOU GO" FUNDING OF RETIREE BENEFITS</w:t>
      </w:r>
      <w:bookmarkEnd w:id="17"/>
    </w:p>
    <w:p w:rsidR="00EB26F9" w:rsidRDefault="00EB26F9">
      <w:pPr>
        <w:tabs>
          <w:tab w:val="left" w:pos="-720"/>
        </w:tabs>
        <w:suppressAutoHyphens/>
      </w:pPr>
    </w:p>
    <w:p w:rsidR="00EB26F9" w:rsidRDefault="00EB26F9">
      <w:pPr>
        <w:tabs>
          <w:tab w:val="left" w:pos="-720"/>
        </w:tabs>
        <w:suppressAutoHyphens/>
      </w:pPr>
      <w:r>
        <w:tab/>
        <w:t xml:space="preserve">We used the actuarial assumptions shown in Appendix C to project </w:t>
      </w:r>
      <w:r>
        <w:rPr>
          <w:noProof/>
        </w:rPr>
        <w:t>ten</w:t>
      </w:r>
      <w:r>
        <w:t xml:space="preserve"> year cash flow under the retiree health program. Because these cash flow estimates reflect average assumptions applied to a relatively small number of employees, estimates for individual years are </w:t>
      </w:r>
      <w:r>
        <w:rPr>
          <w:b/>
          <w:u w:val="single"/>
        </w:rPr>
        <w:t>certain</w:t>
      </w:r>
      <w:r>
        <w:t xml:space="preserve"> to be </w:t>
      </w:r>
      <w:r>
        <w:rPr>
          <w:b/>
          <w:i/>
        </w:rPr>
        <w:t>in</w:t>
      </w:r>
      <w:r>
        <w:t>accurate. However, these estimates show the size of cash outflow.</w:t>
      </w:r>
    </w:p>
    <w:p w:rsidR="00EB26F9" w:rsidRDefault="00EB26F9">
      <w:pPr>
        <w:tabs>
          <w:tab w:val="left" w:pos="-720"/>
        </w:tabs>
        <w:suppressAutoHyphens/>
      </w:pPr>
    </w:p>
    <w:p w:rsidR="00EB26F9" w:rsidRDefault="00EB26F9" w:rsidP="0033424C">
      <w:r>
        <w:tab/>
        <w:t xml:space="preserve">The following table shows a projection of annual amounts needed to pay the </w:t>
      </w:r>
      <w:r>
        <w:rPr>
          <w:noProof/>
        </w:rPr>
        <w:t>College</w:t>
      </w:r>
      <w:r>
        <w:t xml:space="preserve"> share of retiree health premiums.</w:t>
      </w:r>
    </w:p>
    <w:p w:rsidR="00EB26F9" w:rsidRDefault="00EB26F9">
      <w:pPr>
        <w:tabs>
          <w:tab w:val="left" w:pos="-720"/>
        </w:tabs>
        <w:suppressAutoHyphens/>
        <w:rPr>
          <w:snapToGrid/>
          <w:spacing w:val="0"/>
          <w:sz w:val="20"/>
        </w:rPr>
      </w:pPr>
    </w:p>
    <w:tbl>
      <w:tblPr>
        <w:tblW w:w="0" w:type="auto"/>
        <w:tblInd w:w="78" w:type="dxa"/>
        <w:tblLayout w:type="fixed"/>
        <w:tblLook w:val="0000"/>
      </w:tblPr>
      <w:tblGrid>
        <w:gridCol w:w="1342"/>
        <w:gridCol w:w="1452"/>
        <w:gridCol w:w="1404"/>
        <w:gridCol w:w="1545"/>
        <w:gridCol w:w="1483"/>
      </w:tblGrid>
      <w:tr w:rsidR="002548E2">
        <w:trPr>
          <w:trHeight w:val="290"/>
        </w:trPr>
        <w:tc>
          <w:tcPr>
            <w:tcW w:w="1342" w:type="dxa"/>
            <w:tcBorders>
              <w:top w:val="nil"/>
              <w:left w:val="nil"/>
              <w:bottom w:val="nil"/>
              <w:right w:val="nil"/>
            </w:tcBorders>
          </w:tcPr>
          <w:p w:rsidR="002548E2" w:rsidRDefault="002548E2">
            <w:pPr>
              <w:autoSpaceDE w:val="0"/>
              <w:autoSpaceDN w:val="0"/>
              <w:adjustRightInd w:val="0"/>
              <w:rPr>
                <w:color w:val="000000"/>
                <w:szCs w:val="22"/>
              </w:rPr>
            </w:pPr>
            <w:r>
              <w:rPr>
                <w:color w:val="000000"/>
                <w:szCs w:val="22"/>
              </w:rPr>
              <w:t xml:space="preserve">Year </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rPr>
                <w:color w:val="000000"/>
                <w:szCs w:val="22"/>
              </w:rPr>
            </w:pPr>
            <w:r>
              <w:rPr>
                <w:color w:val="000000"/>
                <w:szCs w:val="22"/>
              </w:rPr>
              <w:t>Beginning</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rPr>
                <w:color w:val="000000"/>
                <w:szCs w:val="22"/>
              </w:rPr>
            </w:pPr>
            <w:r>
              <w:rPr>
                <w:color w:val="000000"/>
                <w:szCs w:val="22"/>
              </w:rPr>
              <w:t>May 1</w:t>
            </w:r>
          </w:p>
        </w:tc>
        <w:tc>
          <w:tcPr>
            <w:tcW w:w="1452"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Total</w:t>
            </w:r>
          </w:p>
        </w:tc>
        <w:tc>
          <w:tcPr>
            <w:tcW w:w="1404"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Faculty</w:t>
            </w:r>
          </w:p>
        </w:tc>
        <w:tc>
          <w:tcPr>
            <w:tcW w:w="1545"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Classified</w:t>
            </w:r>
          </w:p>
        </w:tc>
        <w:tc>
          <w:tcPr>
            <w:tcW w:w="1483" w:type="dxa"/>
            <w:tcBorders>
              <w:top w:val="nil"/>
              <w:left w:val="nil"/>
              <w:bottom w:val="nil"/>
              <w:right w:val="nil"/>
            </w:tcBorders>
            <w:vAlign w:val="bottom"/>
          </w:tcPr>
          <w:p w:rsidR="002548E2" w:rsidRDefault="002548E2" w:rsidP="002548E2">
            <w:pPr>
              <w:autoSpaceDE w:val="0"/>
              <w:autoSpaceDN w:val="0"/>
              <w:adjustRightInd w:val="0"/>
              <w:jc w:val="right"/>
              <w:rPr>
                <w:b/>
                <w:bCs/>
                <w:color w:val="000000"/>
                <w:szCs w:val="22"/>
                <w:u w:val="single"/>
              </w:rPr>
            </w:pPr>
            <w:r>
              <w:rPr>
                <w:b/>
                <w:bCs/>
                <w:color w:val="000000"/>
                <w:szCs w:val="22"/>
                <w:u w:val="single"/>
              </w:rPr>
              <w:t>Management</w:t>
            </w: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2012</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$7,316,318</w:t>
            </w: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$2,987,640</w:t>
            </w: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$2,758,902</w:t>
            </w: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$1,569,776</w:t>
            </w: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2013</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$7,077,853</w:t>
            </w: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$2,877,903</w:t>
            </w: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$2,749,824</w:t>
            </w: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$1,450,126</w:t>
            </w: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2014</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$7,488,646</w:t>
            </w: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$3,056,180</w:t>
            </w: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$3,001,279</w:t>
            </w: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$1,431,187</w:t>
            </w: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2015</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$7,797,875</w:t>
            </w: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$3,128,977</w:t>
            </w: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$3,220,291</w:t>
            </w: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$1,448,607</w:t>
            </w: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2016</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$8,074,646</w:t>
            </w: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$3,155,077</w:t>
            </w: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$3,427,777</w:t>
            </w: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$1,491,792</w:t>
            </w: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2017</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$8,489,041</w:t>
            </w: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$3,106,285</w:t>
            </w: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$3,870,752</w:t>
            </w: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$1,512,004</w:t>
            </w: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2018</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$8,823,029</w:t>
            </w: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$3,199,988</w:t>
            </w: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$4,154,871</w:t>
            </w: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$1,468,170</w:t>
            </w: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2019</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$9,172,076</w:t>
            </w: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$3,283,540</w:t>
            </w: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$4,459,350</w:t>
            </w: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$1,429,186</w:t>
            </w: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2020</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$9,469,102</w:t>
            </w: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$3,296,353</w:t>
            </w: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$4,720,969</w:t>
            </w: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$1,451,780</w:t>
            </w:r>
          </w:p>
        </w:tc>
      </w:tr>
      <w:tr w:rsidR="002548E2">
        <w:trPr>
          <w:trHeight w:val="290"/>
        </w:trPr>
        <w:tc>
          <w:tcPr>
            <w:tcW w:w="134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2021</w:t>
            </w:r>
          </w:p>
        </w:tc>
        <w:tc>
          <w:tcPr>
            <w:tcW w:w="1452"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$9,715,653</w:t>
            </w:r>
          </w:p>
        </w:tc>
        <w:tc>
          <w:tcPr>
            <w:tcW w:w="1404"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$3,222,781</w:t>
            </w:r>
          </w:p>
        </w:tc>
        <w:tc>
          <w:tcPr>
            <w:tcW w:w="1545"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$5,026,671</w:t>
            </w:r>
          </w:p>
        </w:tc>
        <w:tc>
          <w:tcPr>
            <w:tcW w:w="1483" w:type="dxa"/>
            <w:tcBorders>
              <w:top w:val="nil"/>
              <w:left w:val="nil"/>
              <w:bottom w:val="nil"/>
              <w:right w:val="nil"/>
            </w:tcBorders>
          </w:tcPr>
          <w:p w:rsidR="002548E2" w:rsidRDefault="002548E2">
            <w:pPr>
              <w:autoSpaceDE w:val="0"/>
              <w:autoSpaceDN w:val="0"/>
              <w:adjustRightInd w:val="0"/>
              <w:jc w:val="right"/>
              <w:rPr>
                <w:color w:val="000000"/>
                <w:szCs w:val="22"/>
              </w:rPr>
            </w:pPr>
            <w:r>
              <w:rPr>
                <w:color w:val="000000"/>
                <w:szCs w:val="22"/>
              </w:rPr>
              <w:t>$1,466,201</w:t>
            </w:r>
          </w:p>
        </w:tc>
      </w:tr>
    </w:tbl>
    <w:p w:rsidR="00EB26F9" w:rsidRDefault="00EB26F9">
      <w:pPr>
        <w:tabs>
          <w:tab w:val="left" w:pos="-720"/>
        </w:tabs>
        <w:suppressAutoHyphens/>
      </w:pPr>
    </w:p>
    <w:p w:rsidR="00EB26F9" w:rsidRDefault="00EB26F9">
      <w:pPr>
        <w:tabs>
          <w:tab w:val="left" w:pos="-720"/>
        </w:tabs>
        <w:suppressAutoHyphens/>
      </w:pPr>
      <w:r>
        <w:br w:type="page"/>
      </w:r>
    </w:p>
    <w:p w:rsidR="00EB26F9" w:rsidRDefault="00EB26F9">
      <w:pPr>
        <w:pStyle w:val="Heading1"/>
        <w:rPr>
          <w:rFonts w:ascii="Times New Roman" w:hAnsi="Times New Roman"/>
          <w:sz w:val="22"/>
        </w:rPr>
      </w:pPr>
      <w:bookmarkStart w:id="18" w:name="_Toc327518686"/>
      <w:r>
        <w:rPr>
          <w:rFonts w:ascii="Times New Roman" w:hAnsi="Times New Roman"/>
          <w:sz w:val="22"/>
        </w:rPr>
        <w:t>PART V:  RECOMMENDATIONS FOR FUTURE VALUATIONS</w:t>
      </w:r>
      <w:bookmarkEnd w:id="18"/>
    </w:p>
    <w:p w:rsidR="00EB26F9" w:rsidRDefault="00EB26F9">
      <w:pPr>
        <w:tabs>
          <w:tab w:val="left" w:pos="-720"/>
        </w:tabs>
        <w:suppressAutoHyphens/>
        <w:rPr>
          <w:b/>
        </w:rPr>
      </w:pPr>
    </w:p>
    <w:p w:rsidR="00EB26F9" w:rsidRDefault="00EB26F9">
      <w:pPr>
        <w:tabs>
          <w:tab w:val="left" w:pos="-720"/>
        </w:tabs>
        <w:suppressAutoHyphens/>
      </w:pPr>
      <w:r>
        <w:tab/>
        <w:t>To effectively manage benefit costs, an employer must periodically examine the existing liability for retiree benefits as well as future annual expected premium costs. GASB 43/45 require biennial or triennial valuations. In addition, a valuation should be conducted whenever plan changes, changes in actuarial assumptions or other employer actions are likely to cause a material change in accrual costs and/or liabilities.</w:t>
      </w:r>
    </w:p>
    <w:p w:rsidR="00EB26F9" w:rsidRDefault="00EB26F9">
      <w:pPr>
        <w:tabs>
          <w:tab w:val="left" w:pos="-720"/>
        </w:tabs>
        <w:suppressAutoHyphens/>
      </w:pPr>
    </w:p>
    <w:p w:rsidR="00EB26F9" w:rsidRDefault="00EB26F9">
      <w:pPr>
        <w:tabs>
          <w:tab w:val="left" w:pos="-720"/>
        </w:tabs>
        <w:suppressAutoHyphens/>
      </w:pPr>
      <w:r>
        <w:tab/>
        <w:t>Following are examples of actions that could trigger a new valuation.</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t xml:space="preserve"> </w:t>
      </w:r>
      <w:r>
        <w:sym w:font="Wingdings" w:char="F0D8"/>
      </w:r>
      <w:r>
        <w:tab/>
        <w:t>An employer should perform a valuation whenever the employer considers or puts in place an early retirement incentive program.</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t xml:space="preserve"> </w:t>
      </w:r>
      <w:r>
        <w:sym w:font="Wingdings" w:char="F0D8"/>
      </w:r>
      <w:r>
        <w:tab/>
        <w:t>An employer should perform a valuation whenever the employer adopts a retiree benefit plan for some or all employees.</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t xml:space="preserve"> </w:t>
      </w:r>
      <w:r>
        <w:sym w:font="Wingdings" w:char="F0D8"/>
      </w:r>
      <w:r>
        <w:tab/>
        <w:t>An employer should perform a valuation whenever the employer considers or implements changes to retiree benefit provisions or eligibility requirements.</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t xml:space="preserve"> </w:t>
      </w:r>
      <w:r>
        <w:sym w:font="Wingdings" w:char="F0D8"/>
      </w:r>
      <w:r>
        <w:tab/>
        <w:t>An employer should perform a valuation whenever the employer introduces or changes retiree contributions.</w:t>
      </w:r>
    </w:p>
    <w:p w:rsidR="00EB26F9" w:rsidRDefault="00EB26F9">
      <w:pPr>
        <w:tabs>
          <w:tab w:val="left" w:pos="-720"/>
        </w:tabs>
        <w:suppressAutoHyphens/>
      </w:pPr>
    </w:p>
    <w:p w:rsidR="00EB26F9" w:rsidRDefault="00EB26F9" w:rsidP="0033424C">
      <w:r>
        <w:tab/>
        <w:t xml:space="preserve">We recommend </w:t>
      </w:r>
      <w:r>
        <w:rPr>
          <w:noProof/>
        </w:rPr>
        <w:t>Coast CCD</w:t>
      </w:r>
      <w:r>
        <w:t xml:space="preserve"> take the following actions to ease future valuations.</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r>
      <w:r>
        <w:sym w:font="Wingdings" w:char="F0D8"/>
      </w:r>
      <w:r>
        <w:tab/>
        <w:t xml:space="preserve">We have used our training, experience and information available to us to establish the actuarial assumptions used in this valuation. We have no information to indicate that any of the assumptions do not reasonably reflect future plan experience. However, the </w:t>
      </w:r>
      <w:r>
        <w:rPr>
          <w:noProof/>
        </w:rPr>
        <w:t>College</w:t>
      </w:r>
      <w:r>
        <w:t xml:space="preserve"> should review the actuarial assumptions in Appendix C carefully. If the </w:t>
      </w:r>
      <w:r>
        <w:rPr>
          <w:noProof/>
        </w:rPr>
        <w:t>College</w:t>
      </w:r>
      <w:r>
        <w:t xml:space="preserve"> has any reason to believe that any of these assumptions do not reasonably represent the expected future experience of the retiree health plan, the </w:t>
      </w:r>
      <w:r>
        <w:rPr>
          <w:noProof/>
        </w:rPr>
        <w:t>College</w:t>
      </w:r>
      <w:r>
        <w:t xml:space="preserve"> should engage in discussions or perform analyses to determine the best estimate of the assumption in question.</w:t>
      </w:r>
    </w:p>
    <w:p w:rsidR="00EB26F9" w:rsidRDefault="00EB26F9">
      <w:pPr>
        <w:tabs>
          <w:tab w:val="left" w:pos="-720"/>
        </w:tabs>
        <w:suppressAutoHyphens/>
      </w:pPr>
      <w:r>
        <w:t xml:space="preserve"> </w:t>
      </w:r>
    </w:p>
    <w:p w:rsidR="00EB26F9" w:rsidRDefault="00EB26F9">
      <w:pPr>
        <w:tabs>
          <w:tab w:val="left" w:pos="-720"/>
        </w:tabs>
        <w:suppressAutoHyphens/>
      </w:pPr>
      <w:r>
        <w:t xml:space="preserve"> </w:t>
      </w:r>
    </w:p>
    <w:p w:rsidR="00EB26F9" w:rsidRDefault="00EB26F9">
      <w:pPr>
        <w:pStyle w:val="Heading1"/>
        <w:rPr>
          <w:rFonts w:ascii="Times New Roman" w:hAnsi="Times New Roman"/>
          <w:sz w:val="22"/>
        </w:rPr>
      </w:pPr>
      <w:r>
        <w:br w:type="page"/>
      </w:r>
      <w:bookmarkStart w:id="19" w:name="_Toc327518687"/>
      <w:r>
        <w:rPr>
          <w:rFonts w:ascii="Times New Roman" w:hAnsi="Times New Roman"/>
          <w:sz w:val="22"/>
        </w:rPr>
        <w:t>PART VI:  APPENDICES</w:t>
      </w:r>
      <w:bookmarkEnd w:id="19"/>
    </w:p>
    <w:p w:rsidR="00EB26F9" w:rsidRDefault="00EB26F9">
      <w:pPr>
        <w:pStyle w:val="Heading2"/>
        <w:jc w:val="center"/>
        <w:rPr>
          <w:rFonts w:ascii="Times New Roman" w:hAnsi="Times New Roman"/>
          <w:i w:val="0"/>
          <w:sz w:val="22"/>
          <w:u w:val="single"/>
        </w:rPr>
      </w:pPr>
      <w:bookmarkStart w:id="20" w:name="_Toc327518688"/>
      <w:r>
        <w:rPr>
          <w:rFonts w:ascii="Times New Roman" w:hAnsi="Times New Roman"/>
          <w:i w:val="0"/>
          <w:sz w:val="22"/>
          <w:u w:val="single"/>
        </w:rPr>
        <w:t>APPENDIX A:  MATERIALS USED FOR THIS STUDY</w:t>
      </w:r>
      <w:bookmarkEnd w:id="20"/>
    </w:p>
    <w:p w:rsidR="00EB26F9" w:rsidRDefault="00EB26F9">
      <w:pPr>
        <w:tabs>
          <w:tab w:val="left" w:pos="-720"/>
        </w:tabs>
        <w:suppressAutoHyphens/>
      </w:pPr>
    </w:p>
    <w:p w:rsidR="00EB26F9" w:rsidRDefault="00EB26F9" w:rsidP="00DE2E60">
      <w:r>
        <w:tab/>
        <w:t>We relied on the following materials to complete this study.</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t xml:space="preserve">    </w:t>
      </w:r>
      <w:r>
        <w:sym w:font="Wingdings" w:char="F0D8"/>
      </w:r>
      <w:r>
        <w:tab/>
        <w:t xml:space="preserve">We used paper reports and digital files containing employee demographic data from the </w:t>
      </w:r>
      <w:r>
        <w:rPr>
          <w:noProof/>
        </w:rPr>
        <w:t>College</w:t>
      </w:r>
      <w:r>
        <w:t xml:space="preserve"> personnel records.</w:t>
      </w:r>
    </w:p>
    <w:p w:rsidR="00EB26F9" w:rsidRDefault="00EB26F9">
      <w:pPr>
        <w:tabs>
          <w:tab w:val="left" w:pos="-720"/>
          <w:tab w:val="left" w:pos="0"/>
          <w:tab w:val="left" w:pos="720"/>
        </w:tabs>
        <w:suppressAutoHyphens/>
        <w:ind w:left="1440" w:right="720" w:hanging="1440"/>
      </w:pPr>
    </w:p>
    <w:p w:rsidR="00EB26F9" w:rsidRDefault="00EB26F9">
      <w:pPr>
        <w:tabs>
          <w:tab w:val="left" w:pos="-720"/>
          <w:tab w:val="left" w:pos="0"/>
          <w:tab w:val="left" w:pos="720"/>
        </w:tabs>
        <w:suppressAutoHyphens/>
        <w:ind w:left="1440" w:right="720" w:hanging="1440"/>
      </w:pPr>
      <w:r>
        <w:tab/>
        <w:t xml:space="preserve">    </w:t>
      </w:r>
      <w:r>
        <w:sym w:font="Wingdings" w:char="F0D8"/>
      </w:r>
      <w:r>
        <w:tab/>
        <w:t xml:space="preserve">We used relevant sections of collective bargaining agreements provided by the </w:t>
      </w:r>
      <w:r>
        <w:rPr>
          <w:noProof/>
        </w:rPr>
        <w:t>College</w:t>
      </w:r>
      <w:r>
        <w:t>.</w:t>
      </w:r>
    </w:p>
    <w:p w:rsidR="00EB26F9" w:rsidRDefault="00EB26F9">
      <w:pPr>
        <w:tabs>
          <w:tab w:val="left" w:pos="-720"/>
        </w:tabs>
        <w:suppressAutoHyphens/>
      </w:pPr>
      <w:r>
        <w:br w:type="page"/>
      </w:r>
    </w:p>
    <w:p w:rsidR="00EB26F9" w:rsidRDefault="00EB26F9">
      <w:pPr>
        <w:pStyle w:val="Heading2"/>
        <w:jc w:val="center"/>
        <w:rPr>
          <w:rFonts w:ascii="Times New Roman" w:hAnsi="Times New Roman"/>
          <w:i w:val="0"/>
          <w:sz w:val="22"/>
          <w:u w:val="single"/>
        </w:rPr>
      </w:pPr>
      <w:bookmarkStart w:id="21" w:name="_Toc327518689"/>
      <w:r>
        <w:rPr>
          <w:rFonts w:ascii="Times New Roman" w:hAnsi="Times New Roman"/>
          <w:i w:val="0"/>
          <w:sz w:val="22"/>
          <w:u w:val="single"/>
        </w:rPr>
        <w:t>APPENDIX B:  EFFECT OF ASSUMPTIONS USED IN CALCULATIONS</w:t>
      </w:r>
      <w:bookmarkEnd w:id="21"/>
    </w:p>
    <w:p w:rsidR="00EB26F9" w:rsidRDefault="00EB26F9">
      <w:pPr>
        <w:tabs>
          <w:tab w:val="left" w:pos="-720"/>
        </w:tabs>
        <w:suppressAutoHyphens/>
      </w:pPr>
    </w:p>
    <w:p w:rsidR="00EB26F9" w:rsidRDefault="00EB26F9">
      <w:pPr>
        <w:tabs>
          <w:tab w:val="left" w:pos="-720"/>
        </w:tabs>
        <w:suppressAutoHyphens/>
      </w:pPr>
      <w:r>
        <w:tab/>
        <w:t xml:space="preserve">While we believe the estimates in this study are reasonable overall, it was necessary for us to use assumptions which inevitably introduce errors.  We believe that the errors caused by our assumptions will not materially affect study results. If the </w:t>
      </w:r>
      <w:r>
        <w:rPr>
          <w:noProof/>
        </w:rPr>
        <w:t>College</w:t>
      </w:r>
      <w:r>
        <w:t xml:space="preserve"> wants more refined estimates for decision-making, we recommend additional investigation.  Following is a brief summary of the impact of some of the more critical assumptions.</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t>1.</w:t>
      </w:r>
      <w:r>
        <w:tab/>
        <w:t xml:space="preserve">Where actuarial assumptions differ from expected experience, our estimates could be overstated or understated.  One of the most critical assumptions is the medical trend rate.  The </w:t>
      </w:r>
      <w:r>
        <w:rPr>
          <w:noProof/>
        </w:rPr>
        <w:t>College</w:t>
      </w:r>
      <w:r>
        <w:t xml:space="preserve"> may want to commission further study to assess the sensitivity of liability estimates to our medical trend assumptions.  For example, it may be helpful to know how liabilities would be affected by using a trend factor 1% higher than what was used in this study. There is an additional fee required to calculate the impact of alternative trend assumptions.</w:t>
      </w:r>
    </w:p>
    <w:p w:rsidR="00EB26F9" w:rsidRDefault="00EB26F9">
      <w:pPr>
        <w:tabs>
          <w:tab w:val="left" w:pos="-720"/>
        </w:tabs>
        <w:suppressAutoHyphens/>
      </w:pPr>
    </w:p>
    <w:p w:rsidR="00EB26F9" w:rsidRDefault="00EB26F9">
      <w:pPr>
        <w:tabs>
          <w:tab w:val="left" w:pos="-720"/>
          <w:tab w:val="left" w:pos="0"/>
          <w:tab w:val="left" w:pos="720"/>
        </w:tabs>
        <w:suppressAutoHyphens/>
        <w:ind w:left="1440" w:right="720" w:hanging="1440"/>
      </w:pPr>
      <w:r>
        <w:tab/>
        <w:t>2.</w:t>
      </w:r>
      <w:r>
        <w:tab/>
        <w:t>We used an "entry age normal" actuarial cost method to estimate the actuarial accrued liability and normal cost.  GASB will allow this as one of several permissible methods under its upcoming accounting standard.  Using a different cost method could result in a somewhat different recognition pattern of costs and liabilities.</w:t>
      </w:r>
    </w:p>
    <w:p w:rsidR="00EB26F9" w:rsidRDefault="00EB26F9">
      <w:pPr>
        <w:tabs>
          <w:tab w:val="left" w:pos="-720"/>
        </w:tabs>
        <w:suppressAutoHyphens/>
      </w:pPr>
    </w:p>
    <w:p w:rsidR="00EB26F9" w:rsidRDefault="00EB26F9">
      <w:pPr>
        <w:pStyle w:val="Heading2"/>
        <w:jc w:val="center"/>
        <w:rPr>
          <w:rFonts w:ascii="Times New Roman" w:hAnsi="Times New Roman"/>
          <w:i w:val="0"/>
          <w:sz w:val="22"/>
          <w:u w:val="single"/>
        </w:rPr>
      </w:pPr>
      <w:r>
        <w:br w:type="page"/>
      </w:r>
      <w:bookmarkStart w:id="22" w:name="_Toc327518690"/>
      <w:r>
        <w:rPr>
          <w:rFonts w:ascii="Times New Roman" w:hAnsi="Times New Roman"/>
          <w:i w:val="0"/>
          <w:sz w:val="22"/>
          <w:u w:val="single"/>
        </w:rPr>
        <w:t>APPENDIX C:  ACTUARIAL ASSUMPTIONS AND METHODS</w:t>
      </w:r>
      <w:bookmarkEnd w:id="22"/>
    </w:p>
    <w:p w:rsidR="00EB26F9" w:rsidRDefault="00EB26F9">
      <w:pPr>
        <w:tabs>
          <w:tab w:val="left" w:pos="-720"/>
        </w:tabs>
        <w:suppressAutoHyphens/>
      </w:pPr>
    </w:p>
    <w:p w:rsidR="00EB26F9" w:rsidRDefault="00EB26F9">
      <w:pPr>
        <w:tabs>
          <w:tab w:val="left" w:pos="-720"/>
        </w:tabs>
        <w:suppressAutoHyphens/>
      </w:pPr>
      <w:r>
        <w:tab/>
        <w:t xml:space="preserve">Following is a summary of actuarial assumptions and methods used in this study. The </w:t>
      </w:r>
      <w:r>
        <w:rPr>
          <w:noProof/>
        </w:rPr>
        <w:t>College</w:t>
      </w:r>
      <w:r>
        <w:t xml:space="preserve"> should carefully review these assumptions and methods to make sure they reflect the </w:t>
      </w:r>
      <w:r>
        <w:rPr>
          <w:noProof/>
        </w:rPr>
        <w:t>College</w:t>
      </w:r>
      <w:r>
        <w:t xml:space="preserve">'s assessment of its underlying experience. It is important for </w:t>
      </w:r>
      <w:r>
        <w:rPr>
          <w:noProof/>
        </w:rPr>
        <w:t>Coast CCD</w:t>
      </w:r>
      <w:r>
        <w:t xml:space="preserve"> to understand that the appropriateness of all selected actuarial assumptions and methods are </w:t>
      </w:r>
      <w:r>
        <w:rPr>
          <w:noProof/>
        </w:rPr>
        <w:t>Coast CCD</w:t>
      </w:r>
      <w:r>
        <w:t xml:space="preserve">’s responsibility. Unless otherwise disclosed in this report, TCS believes that all methods and assumptions are within a reasonable range based on the provisions of GASB 43 and 45, applicable actuarial standards of practice, </w:t>
      </w:r>
      <w:r>
        <w:rPr>
          <w:noProof/>
        </w:rPr>
        <w:t>Coast CCD</w:t>
      </w:r>
      <w:r>
        <w:t xml:space="preserve">’s actual historical experience, and TCS’s </w:t>
      </w:r>
      <w:proofErr w:type="spellStart"/>
      <w:r>
        <w:t>judgement</w:t>
      </w:r>
      <w:proofErr w:type="spellEnd"/>
      <w:r>
        <w:t xml:space="preserve"> based on experience and training.</w:t>
      </w:r>
    </w:p>
    <w:p w:rsidR="00EB26F9" w:rsidRDefault="00EB26F9">
      <w:pPr>
        <w:tabs>
          <w:tab w:val="left" w:pos="-720"/>
        </w:tabs>
        <w:suppressAutoHyphens/>
      </w:pPr>
    </w:p>
    <w:p w:rsidR="00EB26F9" w:rsidRDefault="00EB26F9">
      <w:pPr>
        <w:tabs>
          <w:tab w:val="left" w:pos="-720"/>
        </w:tabs>
        <w:suppressAutoHyphens/>
        <w:rPr>
          <w:b/>
          <w:u w:val="single"/>
        </w:rPr>
      </w:pPr>
      <w:r>
        <w:rPr>
          <w:b/>
          <w:u w:val="single"/>
        </w:rPr>
        <w:t>ACTUARIAL METHODS AND ASSUMPTIONS:</w:t>
      </w:r>
    </w:p>
    <w:p w:rsidR="00EB26F9" w:rsidRDefault="00EB26F9">
      <w:pPr>
        <w:pStyle w:val="EndnoteText"/>
        <w:tabs>
          <w:tab w:val="left" w:pos="-720"/>
        </w:tabs>
        <w:suppressAutoHyphens/>
      </w:pPr>
    </w:p>
    <w:p w:rsidR="00EB26F9" w:rsidRDefault="00EB26F9">
      <w:pPr>
        <w:tabs>
          <w:tab w:val="left" w:pos="-720"/>
        </w:tabs>
        <w:suppressAutoHyphens/>
        <w:ind w:left="2160" w:hanging="2160"/>
      </w:pPr>
      <w:r>
        <w:tab/>
      </w:r>
      <w:r>
        <w:rPr>
          <w:i/>
          <w:u w:val="single"/>
        </w:rPr>
        <w:t>ACTUARIAL COST METHOD:</w:t>
      </w:r>
      <w:r>
        <w:tab/>
      </w:r>
      <w:r>
        <w:rPr>
          <w:u w:val="single"/>
        </w:rPr>
        <w:t>Entry age normal</w:t>
      </w:r>
      <w:r>
        <w:t xml:space="preserve">. The allocation of OPEB cost is based on years of service. We used the </w:t>
      </w:r>
      <w:r>
        <w:rPr>
          <w:noProof/>
        </w:rPr>
        <w:t>level percentage of payroll</w:t>
      </w:r>
      <w:r>
        <w:t xml:space="preserve"> method to allocate OPEB cost over years of service. </w:t>
      </w:r>
    </w:p>
    <w:p w:rsidR="00EB26F9" w:rsidRDefault="00EB26F9">
      <w:pPr>
        <w:tabs>
          <w:tab w:val="left" w:pos="-720"/>
        </w:tabs>
        <w:suppressAutoHyphens/>
        <w:ind w:left="2160" w:hanging="2160"/>
        <w:rPr>
          <w:i/>
          <w:u w:val="single"/>
        </w:rPr>
      </w:pPr>
    </w:p>
    <w:p w:rsidR="00EB26F9" w:rsidRDefault="00EB26F9">
      <w:pPr>
        <w:pStyle w:val="BodyTextIndent"/>
      </w:pPr>
      <w:r>
        <w:t>Entry age is based on the age at hire for eligible employees. The attribution period is determined as the difference between the expected retirement age and the age at hire. The present value of future benefits and present value of future normal costs are determined on an employee by employee basis and then aggregated.</w:t>
      </w:r>
    </w:p>
    <w:p w:rsidR="00EB26F9" w:rsidRDefault="00EB26F9">
      <w:pPr>
        <w:tabs>
          <w:tab w:val="left" w:pos="-720"/>
        </w:tabs>
        <w:suppressAutoHyphens/>
        <w:ind w:left="2160" w:hanging="2160"/>
        <w:rPr>
          <w:i/>
          <w:u w:val="single"/>
        </w:rPr>
      </w:pPr>
    </w:p>
    <w:p w:rsidR="00EB26F9" w:rsidRDefault="00EB26F9">
      <w:pPr>
        <w:pStyle w:val="BodyTextIndent"/>
      </w:pPr>
      <w:r>
        <w:t>To the extent that different benefit formulas apply to different employees of the same class, the normal cost is based on the benefit plan applicable to the most recently hired employees (including future hires if a new benefit formula has been agreed to and communicated to employees).</w:t>
      </w:r>
    </w:p>
    <w:p w:rsidR="00EB26F9" w:rsidRDefault="00EB26F9">
      <w:pPr>
        <w:tabs>
          <w:tab w:val="left" w:pos="-720"/>
        </w:tabs>
        <w:suppressAutoHyphens/>
        <w:ind w:left="2430" w:hanging="2430"/>
        <w:rPr>
          <w:i/>
          <w:u w:val="single"/>
        </w:rPr>
      </w:pPr>
    </w:p>
    <w:p w:rsidR="00EB26F9" w:rsidRDefault="00EB26F9">
      <w:pPr>
        <w:tabs>
          <w:tab w:val="left" w:pos="-720"/>
        </w:tabs>
        <w:suppressAutoHyphens/>
        <w:ind w:left="2160" w:hanging="2160"/>
      </w:pPr>
      <w:r>
        <w:tab/>
      </w:r>
      <w:r>
        <w:rPr>
          <w:i/>
          <w:u w:val="single"/>
        </w:rPr>
        <w:t>AMORTIZATION METHODS:</w:t>
      </w:r>
      <w:r>
        <w:tab/>
      </w:r>
      <w:r w:rsidR="00772E45">
        <w:t xml:space="preserve">We used the </w:t>
      </w:r>
      <w:r w:rsidR="00772E45">
        <w:rPr>
          <w:noProof/>
        </w:rPr>
        <w:t>level percentage of payroll</w:t>
      </w:r>
      <w:r w:rsidR="00772E45">
        <w:t xml:space="preserve"> method to allocate amortization cost by year. We used a closed 2</w:t>
      </w:r>
      <w:r w:rsidR="00772E45">
        <w:rPr>
          <w:noProof/>
        </w:rPr>
        <w:t>0</w:t>
      </w:r>
      <w:r w:rsidR="00772E45">
        <w:t xml:space="preserve"> year amortization period for the initial UAAL. We used an open </w:t>
      </w:r>
      <w:r w:rsidR="00772E45">
        <w:rPr>
          <w:noProof/>
        </w:rPr>
        <w:t>30</w:t>
      </w:r>
      <w:r w:rsidR="00772E45">
        <w:t xml:space="preserve"> year amortization period for any residual UAAL.</w:t>
      </w:r>
    </w:p>
    <w:p w:rsidR="00EB26F9" w:rsidRDefault="00EB26F9">
      <w:pPr>
        <w:tabs>
          <w:tab w:val="left" w:pos="-720"/>
        </w:tabs>
        <w:suppressAutoHyphens/>
      </w:pPr>
    </w:p>
    <w:p w:rsidR="00EB26F9" w:rsidRDefault="00EB26F9">
      <w:pPr>
        <w:tabs>
          <w:tab w:val="left" w:pos="-720"/>
        </w:tabs>
        <w:suppressAutoHyphens/>
        <w:ind w:left="2160" w:hanging="2160"/>
      </w:pPr>
      <w:r>
        <w:tab/>
      </w:r>
      <w:r>
        <w:rPr>
          <w:i/>
          <w:u w:val="single"/>
        </w:rPr>
        <w:t>SUBSTANTIVE PLAN:</w:t>
      </w:r>
      <w:r>
        <w:tab/>
        <w:t xml:space="preserve">As required under GASB 43 and 45, we based the valuation on the substantive plan. The formulation of the substantive plan was based on a review of written plan documents as well as historical information provided by </w:t>
      </w:r>
      <w:r>
        <w:rPr>
          <w:noProof/>
        </w:rPr>
        <w:t>Coast CCD</w:t>
      </w:r>
      <w:r>
        <w:t xml:space="preserve"> regarding practices with respect to employer and employee contributions and other relevant factors.</w:t>
      </w:r>
    </w:p>
    <w:p w:rsidR="00EB26F9" w:rsidRDefault="00EB26F9">
      <w:pPr>
        <w:tabs>
          <w:tab w:val="left" w:pos="-720"/>
        </w:tabs>
        <w:suppressAutoHyphens/>
        <w:rPr>
          <w:b/>
          <w:u w:val="single"/>
        </w:rPr>
      </w:pPr>
      <w:r>
        <w:br w:type="page"/>
      </w:r>
      <w:r>
        <w:rPr>
          <w:b/>
          <w:u w:val="single"/>
        </w:rPr>
        <w:t>ECONOMIC ASSUMPTIONS:</w:t>
      </w:r>
    </w:p>
    <w:p w:rsidR="00EB26F9" w:rsidRDefault="00EB26F9">
      <w:pPr>
        <w:tabs>
          <w:tab w:val="left" w:pos="-720"/>
        </w:tabs>
        <w:suppressAutoHyphens/>
      </w:pPr>
    </w:p>
    <w:p w:rsidR="00EB26F9" w:rsidRDefault="00EB26F9">
      <w:pPr>
        <w:tabs>
          <w:tab w:val="left" w:pos="-720"/>
        </w:tabs>
        <w:suppressAutoHyphens/>
      </w:pPr>
      <w:r>
        <w:t>Economic assumptions are set under the guidance of Actuarial Standard of Practice 27 (ASOP 27). Among other things, ASOP 27 provides that economic assumptions should reflect a consistent underlying rate of general inflation. For that reason, we show our assumed long-term inflation rate below.</w:t>
      </w:r>
    </w:p>
    <w:p w:rsidR="00EB26F9" w:rsidRDefault="00EB26F9">
      <w:pPr>
        <w:tabs>
          <w:tab w:val="left" w:pos="-720"/>
        </w:tabs>
        <w:suppressAutoHyphens/>
      </w:pPr>
    </w:p>
    <w:p w:rsidR="00EB26F9" w:rsidRDefault="00EB26F9" w:rsidP="00DE2E60">
      <w:r>
        <w:tab/>
      </w:r>
      <w:r>
        <w:rPr>
          <w:i/>
          <w:u w:val="single"/>
        </w:rPr>
        <w:t>INFLATION</w:t>
      </w:r>
      <w:r>
        <w:t>:</w:t>
      </w:r>
      <w:r>
        <w:tab/>
        <w:t xml:space="preserve">We assumed </w:t>
      </w:r>
      <w:r>
        <w:rPr>
          <w:noProof/>
        </w:rPr>
        <w:t>3</w:t>
      </w:r>
      <w:r>
        <w:t>% per year.</w:t>
      </w:r>
    </w:p>
    <w:p w:rsidR="00EB26F9" w:rsidRDefault="00EB26F9">
      <w:pPr>
        <w:tabs>
          <w:tab w:val="left" w:pos="-720"/>
        </w:tabs>
        <w:suppressAutoHyphens/>
      </w:pPr>
    </w:p>
    <w:p w:rsidR="00EB26F9" w:rsidRDefault="00EB26F9">
      <w:pPr>
        <w:tabs>
          <w:tab w:val="left" w:pos="-720"/>
        </w:tabs>
        <w:suppressAutoHyphens/>
        <w:ind w:left="2160" w:hanging="2160"/>
      </w:pPr>
      <w:r>
        <w:tab/>
      </w:r>
      <w:r>
        <w:rPr>
          <w:i/>
          <w:u w:val="single"/>
        </w:rPr>
        <w:t>INVESTMENT RETURN / DISCOUNT RATE</w:t>
      </w:r>
      <w:r>
        <w:t xml:space="preserve">:  </w:t>
      </w:r>
      <w:r w:rsidR="00772E45">
        <w:t xml:space="preserve">We assumed </w:t>
      </w:r>
      <w:r w:rsidR="00772E45">
        <w:rPr>
          <w:noProof/>
        </w:rPr>
        <w:t>7</w:t>
      </w:r>
      <w:r w:rsidR="00772E45">
        <w:t>% per year. This is based on assumed long-term return on plan assets assuming 100% funding through the current Trust. We used the “Building Block Method” as described in ASOP 27 Paragraph 3.6.2.</w:t>
      </w:r>
    </w:p>
    <w:p w:rsidR="00EB26F9" w:rsidRDefault="00EB26F9">
      <w:pPr>
        <w:tabs>
          <w:tab w:val="left" w:pos="-720"/>
        </w:tabs>
        <w:suppressAutoHyphens/>
      </w:pPr>
    </w:p>
    <w:p w:rsidR="00EB26F9" w:rsidRDefault="00EB26F9">
      <w:pPr>
        <w:tabs>
          <w:tab w:val="left" w:pos="-720"/>
        </w:tabs>
        <w:suppressAutoHyphens/>
        <w:ind w:left="2160" w:hanging="2160"/>
      </w:pPr>
      <w:r>
        <w:tab/>
      </w:r>
      <w:r>
        <w:rPr>
          <w:i/>
          <w:u w:val="single"/>
        </w:rPr>
        <w:t>TREND:</w:t>
      </w:r>
      <w:r>
        <w:tab/>
        <w:t xml:space="preserve">We assumed </w:t>
      </w:r>
      <w:r>
        <w:rPr>
          <w:noProof/>
        </w:rPr>
        <w:t>4</w:t>
      </w:r>
      <w:r>
        <w:t>% per year. Our long-term trend assumption is based on the conclusion that, while medical trend will continue to be cyclical, the average increase over time cannot continue to outstrip general inflation by a wide margin. Trend increases in excess of general inflation result in dramatic increases in unemployment, the number of uninsured and the number of underinsured. These effects are nearing a tipping point which will inevitably result in fundamental changes in health care finance and/or delivery which will bring increases in health care costs more closely in line with general inflation. We do not believe it is reasonable to project historical trend vs. inflation differences several decades into the future.</w:t>
      </w:r>
    </w:p>
    <w:p w:rsidR="00EB26F9" w:rsidRDefault="00EB26F9">
      <w:pPr>
        <w:tabs>
          <w:tab w:val="left" w:pos="-720"/>
          <w:tab w:val="left" w:pos="0"/>
          <w:tab w:val="left" w:pos="720"/>
          <w:tab w:val="left" w:pos="1440"/>
        </w:tabs>
        <w:suppressAutoHyphens/>
        <w:ind w:left="2160" w:hanging="2160"/>
      </w:pPr>
    </w:p>
    <w:p w:rsidR="00EB26F9" w:rsidRDefault="00EB26F9">
      <w:pPr>
        <w:tabs>
          <w:tab w:val="left" w:pos="-720"/>
        </w:tabs>
        <w:suppressAutoHyphens/>
        <w:ind w:left="2160" w:hanging="2160"/>
      </w:pPr>
      <w:r>
        <w:tab/>
      </w:r>
      <w:r>
        <w:rPr>
          <w:i/>
          <w:u w:val="single"/>
        </w:rPr>
        <w:t>PAYROLL INCREASE</w:t>
      </w:r>
      <w:r>
        <w:t>:</w:t>
      </w:r>
      <w:r>
        <w:tab/>
        <w:t xml:space="preserve">We assumed </w:t>
      </w:r>
      <w:r>
        <w:rPr>
          <w:noProof/>
        </w:rPr>
        <w:t>3</w:t>
      </w:r>
      <w:r>
        <w:t>% per year. This assumption applies only to the extent that either or both of the normal cost and/or UAAL amortization use the level percentage of payroll method. For purposes of applying the level percentage of payroll method, payroll increase must not assume any increases in staff or merit increases.</w:t>
      </w:r>
    </w:p>
    <w:p w:rsidR="00EB26F9" w:rsidRDefault="00EB26F9">
      <w:pPr>
        <w:tabs>
          <w:tab w:val="left" w:pos="-720"/>
        </w:tabs>
        <w:suppressAutoHyphens/>
      </w:pPr>
    </w:p>
    <w:p w:rsidR="00EB26F9" w:rsidRDefault="00EB26F9" w:rsidP="005F0F51">
      <w:pPr>
        <w:tabs>
          <w:tab w:val="left" w:pos="-720"/>
        </w:tabs>
        <w:suppressAutoHyphens/>
        <w:ind w:left="2160" w:hanging="2160"/>
      </w:pPr>
      <w:r>
        <w:tab/>
      </w:r>
      <w:r>
        <w:rPr>
          <w:i/>
          <w:u w:val="single"/>
        </w:rPr>
        <w:t>ACTUARIAL ASSET VALUATION:</w:t>
      </w:r>
      <w:r>
        <w:t xml:space="preserve">  </w:t>
      </w:r>
      <w:r w:rsidR="00772E45">
        <w:t xml:space="preserve">We used asset values provided by </w:t>
      </w:r>
      <w:r w:rsidR="00772E45">
        <w:rPr>
          <w:noProof/>
        </w:rPr>
        <w:t>Coast CCD. We adjusted the March 31, 2012 market value by the valuation interest rate to the valuation date.</w:t>
      </w:r>
    </w:p>
    <w:p w:rsidR="00EB26F9" w:rsidRDefault="00EB26F9">
      <w:pPr>
        <w:tabs>
          <w:tab w:val="left" w:pos="-720"/>
        </w:tabs>
        <w:suppressAutoHyphens/>
        <w:rPr>
          <w:b/>
          <w:u w:val="single"/>
        </w:rPr>
      </w:pPr>
      <w:r>
        <w:br w:type="page"/>
      </w:r>
      <w:r>
        <w:rPr>
          <w:b/>
          <w:u w:val="single"/>
        </w:rPr>
        <w:t>NON-ECONOMIC ASSUMPTIONS:</w:t>
      </w:r>
    </w:p>
    <w:p w:rsidR="00EB26F9" w:rsidRDefault="00EB26F9">
      <w:pPr>
        <w:tabs>
          <w:tab w:val="left" w:pos="-720"/>
        </w:tabs>
        <w:suppressAutoHyphens/>
      </w:pPr>
    </w:p>
    <w:p w:rsidR="00EB26F9" w:rsidRDefault="00EB26F9">
      <w:pPr>
        <w:tabs>
          <w:tab w:val="left" w:pos="-720"/>
          <w:tab w:val="left" w:pos="0"/>
          <w:tab w:val="left" w:pos="720"/>
          <w:tab w:val="left" w:pos="1440"/>
        </w:tabs>
        <w:suppressAutoHyphens/>
        <w:ind w:left="2160" w:hanging="2160"/>
      </w:pPr>
      <w:r>
        <w:t>Economic assumptions are set under the guidance of Actuarial Standard of Practice 35 (ASOP 35).</w:t>
      </w:r>
    </w:p>
    <w:p w:rsidR="00EB26F9" w:rsidRDefault="00EB26F9">
      <w:pPr>
        <w:tabs>
          <w:tab w:val="left" w:pos="-720"/>
          <w:tab w:val="left" w:pos="0"/>
          <w:tab w:val="left" w:pos="720"/>
          <w:tab w:val="left" w:pos="1440"/>
        </w:tabs>
        <w:suppressAutoHyphens/>
        <w:ind w:left="2160" w:hanging="2160"/>
      </w:pPr>
    </w:p>
    <w:p w:rsidR="00EB26F9" w:rsidRDefault="00EB26F9">
      <w:pPr>
        <w:tabs>
          <w:tab w:val="left" w:pos="-720"/>
          <w:tab w:val="left" w:pos="0"/>
          <w:tab w:val="left" w:pos="720"/>
          <w:tab w:val="left" w:pos="1440"/>
        </w:tabs>
        <w:suppressAutoHyphens/>
        <w:ind w:left="2160" w:hanging="2160"/>
      </w:pPr>
      <w:r>
        <w:tab/>
      </w:r>
      <w:r>
        <w:rPr>
          <w:i/>
          <w:u w:val="single"/>
        </w:rPr>
        <w:t>MORTALITY</w:t>
      </w:r>
      <w:r w:rsidR="002548E2">
        <w:t>:</w:t>
      </w:r>
      <w:r w:rsidR="002548E2">
        <w:tab/>
      </w:r>
      <w:proofErr w:type="spellStart"/>
      <w:r>
        <w:t>CalSTRS</w:t>
      </w:r>
      <w:proofErr w:type="spellEnd"/>
      <w:r>
        <w:t xml:space="preserve"> mortal</w:t>
      </w:r>
      <w:r w:rsidR="002548E2">
        <w:t>ity for faculty employees.</w:t>
      </w:r>
    </w:p>
    <w:p w:rsidR="00EB26F9" w:rsidRPr="004129C5" w:rsidRDefault="002548E2" w:rsidP="002548E2">
      <w:pPr>
        <w:tabs>
          <w:tab w:val="left" w:pos="-720"/>
          <w:tab w:val="left" w:pos="0"/>
          <w:tab w:val="left" w:pos="720"/>
          <w:tab w:val="left" w:pos="1440"/>
        </w:tabs>
        <w:suppressAutoHyphens/>
        <w:ind w:left="2160" w:hanging="2160"/>
      </w:pPr>
      <w:r>
        <w:tab/>
      </w:r>
      <w:r>
        <w:tab/>
      </w:r>
      <w:r>
        <w:tab/>
      </w:r>
      <w:proofErr w:type="spellStart"/>
      <w:r w:rsidR="00EB26F9">
        <w:t>CalPERS</w:t>
      </w:r>
      <w:proofErr w:type="spellEnd"/>
      <w:r w:rsidR="00EB26F9">
        <w:t xml:space="preserve"> mortality for M</w:t>
      </w:r>
      <w:r>
        <w:t>iscellaneous employees for other employees.</w:t>
      </w:r>
    </w:p>
    <w:p w:rsidR="00EB26F9" w:rsidRDefault="00EB26F9">
      <w:pPr>
        <w:tabs>
          <w:tab w:val="left" w:pos="-720"/>
        </w:tabs>
        <w:suppressAutoHyphens/>
        <w:outlineLvl w:val="0"/>
      </w:pPr>
    </w:p>
    <w:p w:rsidR="00EB26F9" w:rsidRDefault="00EB26F9" w:rsidP="004129C5">
      <w:pPr>
        <w:tabs>
          <w:tab w:val="left" w:pos="-720"/>
          <w:tab w:val="left" w:pos="0"/>
          <w:tab w:val="left" w:pos="720"/>
          <w:tab w:val="left" w:pos="1440"/>
        </w:tabs>
        <w:suppressAutoHyphens/>
        <w:ind w:left="2160" w:hanging="2160"/>
      </w:pPr>
      <w:r>
        <w:tab/>
      </w:r>
      <w:r>
        <w:rPr>
          <w:i/>
          <w:u w:val="single"/>
        </w:rPr>
        <w:t>RETIREMENT RATES</w:t>
      </w:r>
      <w:r w:rsidR="002548E2">
        <w:t xml:space="preserve">:  </w:t>
      </w:r>
      <w:proofErr w:type="spellStart"/>
      <w:r>
        <w:t>CalSTRS</w:t>
      </w:r>
      <w:proofErr w:type="spellEnd"/>
      <w:r>
        <w:t xml:space="preserve"> retirement ra</w:t>
      </w:r>
      <w:r w:rsidR="002548E2">
        <w:t>tes for faculty employees.</w:t>
      </w:r>
    </w:p>
    <w:p w:rsidR="00EB26F9" w:rsidRDefault="002548E2" w:rsidP="002548E2">
      <w:pPr>
        <w:tabs>
          <w:tab w:val="left" w:pos="-720"/>
          <w:tab w:val="left" w:pos="0"/>
          <w:tab w:val="left" w:pos="720"/>
          <w:tab w:val="left" w:pos="1440"/>
        </w:tabs>
        <w:suppressAutoHyphens/>
        <w:ind w:left="2160" w:hanging="2160"/>
      </w:pPr>
      <w:r>
        <w:tab/>
      </w:r>
      <w:r>
        <w:tab/>
      </w:r>
      <w:r>
        <w:tab/>
      </w:r>
      <w:proofErr w:type="spellStart"/>
      <w:r w:rsidR="00EB26F9">
        <w:t>CalPERS</w:t>
      </w:r>
      <w:proofErr w:type="spellEnd"/>
      <w:r w:rsidR="00EB26F9">
        <w:t xml:space="preserve"> retirement rates for School</w:t>
      </w:r>
      <w:r>
        <w:t xml:space="preserve"> employees for other employees.</w:t>
      </w:r>
    </w:p>
    <w:p w:rsidR="00EB26F9" w:rsidRDefault="00EB26F9" w:rsidP="007F6FA0"/>
    <w:p w:rsidR="00EB26F9" w:rsidRPr="007F6FA0" w:rsidRDefault="00EB26F9" w:rsidP="007F6FA0">
      <w:pPr>
        <w:rPr>
          <w:i/>
          <w:u w:val="single"/>
        </w:rPr>
      </w:pPr>
      <w:r>
        <w:tab/>
      </w:r>
      <w:r w:rsidRPr="007F6FA0">
        <w:rPr>
          <w:i/>
          <w:u w:val="single"/>
        </w:rPr>
        <w:t>VESTING RATES:</w:t>
      </w:r>
    </w:p>
    <w:p w:rsidR="00EB26F9" w:rsidRDefault="00EB26F9">
      <w:pPr>
        <w:tabs>
          <w:tab w:val="left" w:pos="-720"/>
        </w:tabs>
        <w:suppressAutoHyphens/>
        <w:outlineLvl w:val="0"/>
        <w:rPr>
          <w:snapToGrid/>
          <w:spacing w:val="0"/>
          <w:sz w:val="20"/>
        </w:rPr>
      </w:pPr>
    </w:p>
    <w:tbl>
      <w:tblPr>
        <w:tblW w:w="0" w:type="auto"/>
        <w:tblInd w:w="78" w:type="dxa"/>
        <w:tblLayout w:type="fixed"/>
        <w:tblLook w:val="0000"/>
      </w:tblPr>
      <w:tblGrid>
        <w:gridCol w:w="2239"/>
        <w:gridCol w:w="1498"/>
        <w:gridCol w:w="1325"/>
        <w:gridCol w:w="1497"/>
      </w:tblGrid>
      <w:tr w:rsidR="009506FF">
        <w:trPr>
          <w:trHeight w:val="290"/>
        </w:trPr>
        <w:tc>
          <w:tcPr>
            <w:tcW w:w="2239" w:type="dxa"/>
            <w:tcBorders>
              <w:top w:val="nil"/>
              <w:left w:val="nil"/>
              <w:bottom w:val="nil"/>
              <w:right w:val="nil"/>
            </w:tcBorders>
          </w:tcPr>
          <w:p w:rsidR="009506FF" w:rsidRDefault="009506FF">
            <w:pPr>
              <w:autoSpaceDE w:val="0"/>
              <w:autoSpaceDN w:val="0"/>
              <w:adjustRightInd w:val="0"/>
              <w:jc w:val="right"/>
              <w:rPr>
                <w:color w:val="000000"/>
                <w:szCs w:val="22"/>
              </w:rPr>
            </w:pPr>
          </w:p>
        </w:tc>
        <w:tc>
          <w:tcPr>
            <w:tcW w:w="1498" w:type="dxa"/>
            <w:tcBorders>
              <w:top w:val="nil"/>
              <w:left w:val="nil"/>
              <w:bottom w:val="nil"/>
              <w:right w:val="nil"/>
            </w:tcBorders>
            <w:vAlign w:val="bottom"/>
          </w:tcPr>
          <w:p w:rsidR="009506FF" w:rsidRDefault="009506FF">
            <w:pPr>
              <w:autoSpaceDE w:val="0"/>
              <w:autoSpaceDN w:val="0"/>
              <w:adjustRightInd w:val="0"/>
              <w:rPr>
                <w:b/>
                <w:bCs/>
                <w:color w:val="000000"/>
                <w:szCs w:val="22"/>
                <w:u w:val="single"/>
              </w:rPr>
            </w:pPr>
            <w:r>
              <w:rPr>
                <w:b/>
                <w:bCs/>
                <w:color w:val="000000"/>
                <w:szCs w:val="22"/>
                <w:u w:val="single"/>
              </w:rPr>
              <w:t>Faculty</w:t>
            </w:r>
          </w:p>
        </w:tc>
        <w:tc>
          <w:tcPr>
            <w:tcW w:w="1325" w:type="dxa"/>
            <w:tcBorders>
              <w:top w:val="nil"/>
              <w:left w:val="nil"/>
              <w:bottom w:val="nil"/>
              <w:right w:val="nil"/>
            </w:tcBorders>
            <w:vAlign w:val="bottom"/>
          </w:tcPr>
          <w:p w:rsidR="009506FF" w:rsidRDefault="009506FF">
            <w:pPr>
              <w:autoSpaceDE w:val="0"/>
              <w:autoSpaceDN w:val="0"/>
              <w:adjustRightInd w:val="0"/>
              <w:rPr>
                <w:b/>
                <w:bCs/>
                <w:color w:val="000000"/>
                <w:szCs w:val="22"/>
                <w:u w:val="single"/>
              </w:rPr>
            </w:pPr>
            <w:r>
              <w:rPr>
                <w:b/>
                <w:bCs/>
                <w:color w:val="000000"/>
                <w:szCs w:val="22"/>
                <w:u w:val="single"/>
              </w:rPr>
              <w:t>Classified</w:t>
            </w:r>
          </w:p>
        </w:tc>
        <w:tc>
          <w:tcPr>
            <w:tcW w:w="1497" w:type="dxa"/>
            <w:tcBorders>
              <w:top w:val="nil"/>
              <w:left w:val="nil"/>
              <w:bottom w:val="nil"/>
              <w:right w:val="nil"/>
            </w:tcBorders>
            <w:vAlign w:val="bottom"/>
          </w:tcPr>
          <w:p w:rsidR="009506FF" w:rsidRDefault="009506FF">
            <w:pPr>
              <w:autoSpaceDE w:val="0"/>
              <w:autoSpaceDN w:val="0"/>
              <w:adjustRightInd w:val="0"/>
              <w:rPr>
                <w:b/>
                <w:bCs/>
                <w:color w:val="000000"/>
                <w:szCs w:val="22"/>
                <w:u w:val="single"/>
              </w:rPr>
            </w:pPr>
            <w:r>
              <w:rPr>
                <w:b/>
                <w:bCs/>
                <w:color w:val="000000"/>
                <w:szCs w:val="22"/>
                <w:u w:val="single"/>
              </w:rPr>
              <w:t>Management</w:t>
            </w:r>
          </w:p>
        </w:tc>
      </w:tr>
      <w:tr w:rsidR="009506FF">
        <w:trPr>
          <w:trHeight w:val="290"/>
        </w:trPr>
        <w:tc>
          <w:tcPr>
            <w:tcW w:w="2239" w:type="dxa"/>
            <w:tcBorders>
              <w:top w:val="nil"/>
              <w:left w:val="nil"/>
              <w:bottom w:val="nil"/>
              <w:right w:val="nil"/>
            </w:tcBorders>
          </w:tcPr>
          <w:p w:rsidR="009506FF" w:rsidRDefault="009506FF">
            <w:pPr>
              <w:autoSpaceDE w:val="0"/>
              <w:autoSpaceDN w:val="0"/>
              <w:adjustRightInd w:val="0"/>
              <w:rPr>
                <w:color w:val="000000"/>
                <w:szCs w:val="22"/>
              </w:rPr>
            </w:pPr>
            <w:r>
              <w:rPr>
                <w:color w:val="000000"/>
                <w:szCs w:val="22"/>
              </w:rPr>
              <w:t>Vesting Percentage</w:t>
            </w:r>
          </w:p>
        </w:tc>
        <w:tc>
          <w:tcPr>
            <w:tcW w:w="1498" w:type="dxa"/>
            <w:tcBorders>
              <w:top w:val="nil"/>
              <w:left w:val="nil"/>
              <w:bottom w:val="nil"/>
              <w:right w:val="nil"/>
            </w:tcBorders>
          </w:tcPr>
          <w:p w:rsidR="009506FF" w:rsidRDefault="009506FF">
            <w:pPr>
              <w:autoSpaceDE w:val="0"/>
              <w:autoSpaceDN w:val="0"/>
              <w:adjustRightInd w:val="0"/>
              <w:rPr>
                <w:color w:val="000000"/>
                <w:szCs w:val="22"/>
              </w:rPr>
            </w:pPr>
            <w:r>
              <w:rPr>
                <w:color w:val="000000"/>
                <w:szCs w:val="22"/>
              </w:rPr>
              <w:t>100%</w:t>
            </w:r>
          </w:p>
        </w:tc>
        <w:tc>
          <w:tcPr>
            <w:tcW w:w="1325" w:type="dxa"/>
            <w:tcBorders>
              <w:top w:val="nil"/>
              <w:left w:val="nil"/>
              <w:bottom w:val="nil"/>
              <w:right w:val="nil"/>
            </w:tcBorders>
          </w:tcPr>
          <w:p w:rsidR="009506FF" w:rsidRDefault="009506FF">
            <w:pPr>
              <w:autoSpaceDE w:val="0"/>
              <w:autoSpaceDN w:val="0"/>
              <w:adjustRightInd w:val="0"/>
              <w:rPr>
                <w:color w:val="000000"/>
                <w:szCs w:val="22"/>
              </w:rPr>
            </w:pPr>
            <w:r>
              <w:rPr>
                <w:color w:val="000000"/>
                <w:szCs w:val="22"/>
              </w:rPr>
              <w:t>100%</w:t>
            </w:r>
          </w:p>
        </w:tc>
        <w:tc>
          <w:tcPr>
            <w:tcW w:w="1497" w:type="dxa"/>
            <w:tcBorders>
              <w:top w:val="nil"/>
              <w:left w:val="nil"/>
              <w:bottom w:val="nil"/>
              <w:right w:val="nil"/>
            </w:tcBorders>
          </w:tcPr>
          <w:p w:rsidR="009506FF" w:rsidRDefault="009506FF">
            <w:pPr>
              <w:autoSpaceDE w:val="0"/>
              <w:autoSpaceDN w:val="0"/>
              <w:adjustRightInd w:val="0"/>
              <w:rPr>
                <w:color w:val="000000"/>
                <w:szCs w:val="22"/>
              </w:rPr>
            </w:pPr>
            <w:r>
              <w:rPr>
                <w:color w:val="000000"/>
                <w:szCs w:val="22"/>
              </w:rPr>
              <w:t>100%</w:t>
            </w:r>
          </w:p>
        </w:tc>
      </w:tr>
      <w:tr w:rsidR="009506FF">
        <w:trPr>
          <w:trHeight w:val="290"/>
        </w:trPr>
        <w:tc>
          <w:tcPr>
            <w:tcW w:w="2239" w:type="dxa"/>
            <w:tcBorders>
              <w:top w:val="nil"/>
              <w:left w:val="nil"/>
              <w:bottom w:val="nil"/>
              <w:right w:val="nil"/>
            </w:tcBorders>
          </w:tcPr>
          <w:p w:rsidR="009506FF" w:rsidRDefault="009506FF">
            <w:pPr>
              <w:autoSpaceDE w:val="0"/>
              <w:autoSpaceDN w:val="0"/>
              <w:adjustRightInd w:val="0"/>
              <w:rPr>
                <w:color w:val="000000"/>
                <w:szCs w:val="22"/>
              </w:rPr>
            </w:pPr>
            <w:r>
              <w:rPr>
                <w:color w:val="000000"/>
                <w:szCs w:val="22"/>
              </w:rPr>
              <w:t>Vesting Period</w:t>
            </w:r>
          </w:p>
        </w:tc>
        <w:tc>
          <w:tcPr>
            <w:tcW w:w="1498" w:type="dxa"/>
            <w:tcBorders>
              <w:top w:val="nil"/>
              <w:left w:val="nil"/>
              <w:bottom w:val="nil"/>
              <w:right w:val="nil"/>
            </w:tcBorders>
          </w:tcPr>
          <w:p w:rsidR="009506FF" w:rsidRDefault="009506FF">
            <w:pPr>
              <w:autoSpaceDE w:val="0"/>
              <w:autoSpaceDN w:val="0"/>
              <w:adjustRightInd w:val="0"/>
              <w:rPr>
                <w:color w:val="000000"/>
                <w:szCs w:val="22"/>
              </w:rPr>
            </w:pPr>
            <w:r>
              <w:rPr>
                <w:color w:val="000000"/>
                <w:szCs w:val="22"/>
              </w:rPr>
              <w:t>10 years</w:t>
            </w:r>
          </w:p>
        </w:tc>
        <w:tc>
          <w:tcPr>
            <w:tcW w:w="1325" w:type="dxa"/>
            <w:tcBorders>
              <w:top w:val="nil"/>
              <w:left w:val="nil"/>
              <w:bottom w:val="nil"/>
              <w:right w:val="nil"/>
            </w:tcBorders>
          </w:tcPr>
          <w:p w:rsidR="009506FF" w:rsidRDefault="009506FF">
            <w:pPr>
              <w:autoSpaceDE w:val="0"/>
              <w:autoSpaceDN w:val="0"/>
              <w:adjustRightInd w:val="0"/>
              <w:rPr>
                <w:color w:val="000000"/>
                <w:szCs w:val="22"/>
              </w:rPr>
            </w:pPr>
            <w:r>
              <w:rPr>
                <w:color w:val="000000"/>
                <w:szCs w:val="22"/>
              </w:rPr>
              <w:t>10 years</w:t>
            </w:r>
          </w:p>
        </w:tc>
        <w:tc>
          <w:tcPr>
            <w:tcW w:w="1497" w:type="dxa"/>
            <w:tcBorders>
              <w:top w:val="nil"/>
              <w:left w:val="nil"/>
              <w:bottom w:val="nil"/>
              <w:right w:val="nil"/>
            </w:tcBorders>
          </w:tcPr>
          <w:p w:rsidR="009506FF" w:rsidRDefault="009506FF">
            <w:pPr>
              <w:autoSpaceDE w:val="0"/>
              <w:autoSpaceDN w:val="0"/>
              <w:adjustRightInd w:val="0"/>
              <w:rPr>
                <w:color w:val="000000"/>
                <w:szCs w:val="22"/>
              </w:rPr>
            </w:pPr>
            <w:r>
              <w:rPr>
                <w:color w:val="000000"/>
                <w:szCs w:val="22"/>
              </w:rPr>
              <w:t>10 years</w:t>
            </w:r>
          </w:p>
        </w:tc>
      </w:tr>
    </w:tbl>
    <w:p w:rsidR="00EB26F9" w:rsidRDefault="00EB26F9">
      <w:pPr>
        <w:tabs>
          <w:tab w:val="left" w:pos="-720"/>
        </w:tabs>
        <w:suppressAutoHyphens/>
        <w:outlineLvl w:val="0"/>
      </w:pPr>
    </w:p>
    <w:p w:rsidR="00EB26F9" w:rsidRPr="007F6FA0" w:rsidRDefault="00EB26F9" w:rsidP="007F6FA0">
      <w:pPr>
        <w:rPr>
          <w:i/>
          <w:u w:val="single"/>
        </w:rPr>
      </w:pPr>
      <w:r>
        <w:tab/>
      </w:r>
      <w:r w:rsidRPr="007F6FA0">
        <w:rPr>
          <w:i/>
          <w:u w:val="single"/>
        </w:rPr>
        <w:t>COSTS FOR RETIREE COVERAGE:</w:t>
      </w:r>
    </w:p>
    <w:p w:rsidR="00EB26F9" w:rsidRDefault="00EB26F9">
      <w:pPr>
        <w:tabs>
          <w:tab w:val="left" w:pos="-720"/>
        </w:tabs>
        <w:suppressAutoHyphens/>
        <w:rPr>
          <w:u w:val="single"/>
        </w:rPr>
      </w:pPr>
    </w:p>
    <w:p w:rsidR="00EA741B" w:rsidRDefault="00772E45">
      <w:pPr>
        <w:tabs>
          <w:tab w:val="left" w:pos="-720"/>
        </w:tabs>
        <w:suppressAutoHyphens/>
      </w:pPr>
      <w:r>
        <w:t>We used actual costs for the PPO plan</w:t>
      </w:r>
      <w:r w:rsidR="00EA741B">
        <w:t>.</w:t>
      </w:r>
    </w:p>
    <w:p w:rsidR="00EB26F9" w:rsidRDefault="00EA741B">
      <w:pPr>
        <w:tabs>
          <w:tab w:val="left" w:pos="-720"/>
        </w:tabs>
        <w:suppressAutoHyphens/>
        <w:rPr>
          <w:u w:val="single"/>
        </w:rPr>
      </w:pPr>
      <w:r>
        <w:rPr>
          <w:u w:val="single"/>
        </w:rPr>
        <w:t xml:space="preserve"> </w:t>
      </w:r>
    </w:p>
    <w:p w:rsidR="00EB26F9" w:rsidRDefault="00EB26F9">
      <w:pPr>
        <w:tabs>
          <w:tab w:val="left" w:pos="-720"/>
        </w:tabs>
        <w:suppressAutoHyphens/>
      </w:pPr>
      <w:r>
        <w:t xml:space="preserve">First Year costs are as shown below. Subsequent years’ costs are based on first year costs adjusted for trend and limited by any </w:t>
      </w:r>
      <w:r>
        <w:rPr>
          <w:noProof/>
        </w:rPr>
        <w:t>College</w:t>
      </w:r>
      <w:r>
        <w:t xml:space="preserve"> contribution caps.</w:t>
      </w:r>
    </w:p>
    <w:p w:rsidR="00EB26F9" w:rsidRDefault="00EB26F9">
      <w:pPr>
        <w:tabs>
          <w:tab w:val="left" w:pos="-720"/>
        </w:tabs>
        <w:suppressAutoHyphens/>
        <w:rPr>
          <w:snapToGrid/>
          <w:spacing w:val="0"/>
          <w:sz w:val="20"/>
        </w:rPr>
      </w:pPr>
    </w:p>
    <w:tbl>
      <w:tblPr>
        <w:tblW w:w="0" w:type="auto"/>
        <w:tblInd w:w="78" w:type="dxa"/>
        <w:tblLayout w:type="fixed"/>
        <w:tblLook w:val="0000"/>
      </w:tblPr>
      <w:tblGrid>
        <w:gridCol w:w="2570"/>
        <w:gridCol w:w="2140"/>
        <w:gridCol w:w="1246"/>
        <w:gridCol w:w="1483"/>
      </w:tblGrid>
      <w:tr w:rsidR="009506FF">
        <w:trPr>
          <w:trHeight w:val="290"/>
        </w:trPr>
        <w:tc>
          <w:tcPr>
            <w:tcW w:w="2570" w:type="dxa"/>
            <w:tcBorders>
              <w:top w:val="nil"/>
              <w:left w:val="nil"/>
              <w:bottom w:val="nil"/>
              <w:right w:val="nil"/>
            </w:tcBorders>
          </w:tcPr>
          <w:p w:rsidR="009506FF" w:rsidRDefault="009506FF">
            <w:pPr>
              <w:autoSpaceDE w:val="0"/>
              <w:autoSpaceDN w:val="0"/>
              <w:adjustRightInd w:val="0"/>
              <w:jc w:val="right"/>
              <w:rPr>
                <w:color w:val="000000"/>
                <w:szCs w:val="22"/>
              </w:rPr>
            </w:pPr>
          </w:p>
        </w:tc>
        <w:tc>
          <w:tcPr>
            <w:tcW w:w="2140" w:type="dxa"/>
            <w:tcBorders>
              <w:top w:val="nil"/>
              <w:left w:val="nil"/>
              <w:bottom w:val="nil"/>
              <w:right w:val="nil"/>
            </w:tcBorders>
            <w:vAlign w:val="bottom"/>
          </w:tcPr>
          <w:p w:rsidR="009506FF" w:rsidRDefault="009506FF" w:rsidP="009506FF">
            <w:pPr>
              <w:autoSpaceDE w:val="0"/>
              <w:autoSpaceDN w:val="0"/>
              <w:adjustRightInd w:val="0"/>
              <w:jc w:val="right"/>
              <w:rPr>
                <w:b/>
                <w:bCs/>
                <w:color w:val="000000"/>
                <w:szCs w:val="22"/>
                <w:u w:val="single"/>
              </w:rPr>
            </w:pPr>
            <w:r>
              <w:rPr>
                <w:b/>
                <w:bCs/>
                <w:color w:val="000000"/>
                <w:szCs w:val="22"/>
                <w:u w:val="single"/>
              </w:rPr>
              <w:t>Faculty</w:t>
            </w:r>
          </w:p>
        </w:tc>
        <w:tc>
          <w:tcPr>
            <w:tcW w:w="1246" w:type="dxa"/>
            <w:tcBorders>
              <w:top w:val="nil"/>
              <w:left w:val="nil"/>
              <w:bottom w:val="nil"/>
              <w:right w:val="nil"/>
            </w:tcBorders>
            <w:vAlign w:val="bottom"/>
          </w:tcPr>
          <w:p w:rsidR="009506FF" w:rsidRDefault="009506FF" w:rsidP="009506FF">
            <w:pPr>
              <w:autoSpaceDE w:val="0"/>
              <w:autoSpaceDN w:val="0"/>
              <w:adjustRightInd w:val="0"/>
              <w:jc w:val="right"/>
              <w:rPr>
                <w:b/>
                <w:bCs/>
                <w:color w:val="000000"/>
                <w:szCs w:val="22"/>
                <w:u w:val="single"/>
              </w:rPr>
            </w:pPr>
            <w:r>
              <w:rPr>
                <w:b/>
                <w:bCs/>
                <w:color w:val="000000"/>
                <w:szCs w:val="22"/>
                <w:u w:val="single"/>
              </w:rPr>
              <w:t>Classified</w:t>
            </w:r>
          </w:p>
        </w:tc>
        <w:tc>
          <w:tcPr>
            <w:tcW w:w="1483" w:type="dxa"/>
            <w:tcBorders>
              <w:top w:val="nil"/>
              <w:left w:val="nil"/>
              <w:bottom w:val="nil"/>
              <w:right w:val="nil"/>
            </w:tcBorders>
            <w:vAlign w:val="bottom"/>
          </w:tcPr>
          <w:p w:rsidR="009506FF" w:rsidRDefault="009506FF" w:rsidP="009506FF">
            <w:pPr>
              <w:autoSpaceDE w:val="0"/>
              <w:autoSpaceDN w:val="0"/>
              <w:adjustRightInd w:val="0"/>
              <w:jc w:val="right"/>
              <w:rPr>
                <w:b/>
                <w:bCs/>
                <w:color w:val="000000"/>
                <w:szCs w:val="22"/>
                <w:u w:val="single"/>
              </w:rPr>
            </w:pPr>
            <w:r>
              <w:rPr>
                <w:b/>
                <w:bCs/>
                <w:color w:val="000000"/>
                <w:szCs w:val="22"/>
                <w:u w:val="single"/>
              </w:rPr>
              <w:t>Management</w:t>
            </w:r>
          </w:p>
        </w:tc>
      </w:tr>
      <w:tr w:rsidR="009506FF">
        <w:trPr>
          <w:trHeight w:val="290"/>
        </w:trPr>
        <w:tc>
          <w:tcPr>
            <w:tcW w:w="5956" w:type="dxa"/>
            <w:gridSpan w:val="3"/>
            <w:tcBorders>
              <w:top w:val="nil"/>
              <w:left w:val="nil"/>
              <w:bottom w:val="nil"/>
              <w:right w:val="nil"/>
            </w:tcBorders>
          </w:tcPr>
          <w:p w:rsidR="009506FF" w:rsidRDefault="009506FF">
            <w:pPr>
              <w:autoSpaceDE w:val="0"/>
              <w:autoSpaceDN w:val="0"/>
              <w:adjustRightInd w:val="0"/>
              <w:rPr>
                <w:color w:val="000000"/>
                <w:szCs w:val="22"/>
              </w:rPr>
            </w:pPr>
            <w:r>
              <w:rPr>
                <w:color w:val="000000"/>
                <w:szCs w:val="22"/>
              </w:rPr>
              <w:t>Current Retirees: based on actual costs</w:t>
            </w:r>
          </w:p>
        </w:tc>
        <w:tc>
          <w:tcPr>
            <w:tcW w:w="1483" w:type="dxa"/>
            <w:tcBorders>
              <w:top w:val="nil"/>
              <w:left w:val="nil"/>
              <w:bottom w:val="nil"/>
              <w:right w:val="nil"/>
            </w:tcBorders>
          </w:tcPr>
          <w:p w:rsidR="009506FF" w:rsidRDefault="009506FF">
            <w:pPr>
              <w:autoSpaceDE w:val="0"/>
              <w:autoSpaceDN w:val="0"/>
              <w:adjustRightInd w:val="0"/>
              <w:jc w:val="right"/>
              <w:rPr>
                <w:color w:val="000000"/>
                <w:szCs w:val="22"/>
              </w:rPr>
            </w:pPr>
          </w:p>
        </w:tc>
      </w:tr>
      <w:tr w:rsidR="009506FF">
        <w:trPr>
          <w:trHeight w:val="290"/>
        </w:trPr>
        <w:tc>
          <w:tcPr>
            <w:tcW w:w="2570" w:type="dxa"/>
            <w:tcBorders>
              <w:top w:val="nil"/>
              <w:left w:val="nil"/>
              <w:bottom w:val="nil"/>
              <w:right w:val="nil"/>
            </w:tcBorders>
          </w:tcPr>
          <w:p w:rsidR="009506FF" w:rsidRDefault="009506FF">
            <w:pPr>
              <w:autoSpaceDE w:val="0"/>
              <w:autoSpaceDN w:val="0"/>
              <w:adjustRightInd w:val="0"/>
              <w:jc w:val="right"/>
              <w:rPr>
                <w:color w:val="000000"/>
                <w:szCs w:val="22"/>
              </w:rPr>
            </w:pPr>
          </w:p>
        </w:tc>
        <w:tc>
          <w:tcPr>
            <w:tcW w:w="2140" w:type="dxa"/>
            <w:tcBorders>
              <w:top w:val="nil"/>
              <w:left w:val="nil"/>
              <w:bottom w:val="nil"/>
              <w:right w:val="nil"/>
            </w:tcBorders>
          </w:tcPr>
          <w:p w:rsidR="009506FF" w:rsidRDefault="009506FF">
            <w:pPr>
              <w:autoSpaceDE w:val="0"/>
              <w:autoSpaceDN w:val="0"/>
              <w:adjustRightInd w:val="0"/>
              <w:rPr>
                <w:b/>
                <w:bCs/>
                <w:color w:val="000000"/>
                <w:szCs w:val="22"/>
                <w:u w:val="single"/>
              </w:rPr>
            </w:pPr>
          </w:p>
        </w:tc>
        <w:tc>
          <w:tcPr>
            <w:tcW w:w="1246" w:type="dxa"/>
            <w:tcBorders>
              <w:top w:val="nil"/>
              <w:left w:val="nil"/>
              <w:bottom w:val="nil"/>
              <w:right w:val="nil"/>
            </w:tcBorders>
          </w:tcPr>
          <w:p w:rsidR="009506FF" w:rsidRDefault="009506FF">
            <w:pPr>
              <w:autoSpaceDE w:val="0"/>
              <w:autoSpaceDN w:val="0"/>
              <w:adjustRightInd w:val="0"/>
              <w:jc w:val="right"/>
              <w:rPr>
                <w:color w:val="000000"/>
                <w:szCs w:val="22"/>
              </w:rPr>
            </w:pPr>
          </w:p>
        </w:tc>
        <w:tc>
          <w:tcPr>
            <w:tcW w:w="1483" w:type="dxa"/>
            <w:tcBorders>
              <w:top w:val="nil"/>
              <w:left w:val="nil"/>
              <w:bottom w:val="nil"/>
              <w:right w:val="nil"/>
            </w:tcBorders>
          </w:tcPr>
          <w:p w:rsidR="009506FF" w:rsidRDefault="009506FF">
            <w:pPr>
              <w:autoSpaceDE w:val="0"/>
              <w:autoSpaceDN w:val="0"/>
              <w:adjustRightInd w:val="0"/>
              <w:jc w:val="right"/>
              <w:rPr>
                <w:color w:val="000000"/>
                <w:szCs w:val="22"/>
              </w:rPr>
            </w:pPr>
          </w:p>
        </w:tc>
      </w:tr>
      <w:tr w:rsidR="009506FF">
        <w:trPr>
          <w:trHeight w:val="290"/>
        </w:trPr>
        <w:tc>
          <w:tcPr>
            <w:tcW w:w="2570" w:type="dxa"/>
            <w:tcBorders>
              <w:top w:val="nil"/>
              <w:left w:val="nil"/>
              <w:bottom w:val="nil"/>
              <w:right w:val="nil"/>
            </w:tcBorders>
          </w:tcPr>
          <w:p w:rsidR="009506FF" w:rsidRDefault="009506FF">
            <w:pPr>
              <w:autoSpaceDE w:val="0"/>
              <w:autoSpaceDN w:val="0"/>
              <w:adjustRightInd w:val="0"/>
              <w:rPr>
                <w:color w:val="000000"/>
                <w:szCs w:val="22"/>
                <w:u w:val="single"/>
              </w:rPr>
            </w:pPr>
            <w:r>
              <w:rPr>
                <w:color w:val="000000"/>
                <w:szCs w:val="22"/>
                <w:u w:val="single"/>
              </w:rPr>
              <w:t>Current Plan:</w:t>
            </w:r>
          </w:p>
        </w:tc>
        <w:tc>
          <w:tcPr>
            <w:tcW w:w="2140" w:type="dxa"/>
            <w:tcBorders>
              <w:top w:val="nil"/>
              <w:left w:val="nil"/>
              <w:bottom w:val="nil"/>
              <w:right w:val="nil"/>
            </w:tcBorders>
          </w:tcPr>
          <w:p w:rsidR="009506FF" w:rsidRDefault="009506FF">
            <w:pPr>
              <w:autoSpaceDE w:val="0"/>
              <w:autoSpaceDN w:val="0"/>
              <w:adjustRightInd w:val="0"/>
              <w:rPr>
                <w:color w:val="000000"/>
                <w:szCs w:val="22"/>
              </w:rPr>
            </w:pPr>
          </w:p>
        </w:tc>
        <w:tc>
          <w:tcPr>
            <w:tcW w:w="1246" w:type="dxa"/>
            <w:tcBorders>
              <w:top w:val="nil"/>
              <w:left w:val="nil"/>
              <w:bottom w:val="nil"/>
              <w:right w:val="nil"/>
            </w:tcBorders>
          </w:tcPr>
          <w:p w:rsidR="009506FF" w:rsidRDefault="009506FF">
            <w:pPr>
              <w:autoSpaceDE w:val="0"/>
              <w:autoSpaceDN w:val="0"/>
              <w:adjustRightInd w:val="0"/>
              <w:jc w:val="right"/>
              <w:rPr>
                <w:color w:val="000000"/>
                <w:szCs w:val="22"/>
              </w:rPr>
            </w:pPr>
          </w:p>
        </w:tc>
        <w:tc>
          <w:tcPr>
            <w:tcW w:w="1483" w:type="dxa"/>
            <w:tcBorders>
              <w:top w:val="nil"/>
              <w:left w:val="nil"/>
              <w:bottom w:val="nil"/>
              <w:right w:val="nil"/>
            </w:tcBorders>
          </w:tcPr>
          <w:p w:rsidR="009506FF" w:rsidRDefault="009506FF">
            <w:pPr>
              <w:autoSpaceDE w:val="0"/>
              <w:autoSpaceDN w:val="0"/>
              <w:adjustRightInd w:val="0"/>
              <w:jc w:val="right"/>
              <w:rPr>
                <w:color w:val="000000"/>
                <w:szCs w:val="22"/>
              </w:rPr>
            </w:pPr>
          </w:p>
        </w:tc>
      </w:tr>
      <w:tr w:rsidR="009506FF">
        <w:trPr>
          <w:trHeight w:val="290"/>
        </w:trPr>
        <w:tc>
          <w:tcPr>
            <w:tcW w:w="2570"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 xml:space="preserve"> Future Retirees Pre-65</w:t>
            </w:r>
          </w:p>
        </w:tc>
        <w:tc>
          <w:tcPr>
            <w:tcW w:w="2140"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$18,194</w:t>
            </w:r>
          </w:p>
        </w:tc>
        <w:tc>
          <w:tcPr>
            <w:tcW w:w="124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$18,435</w:t>
            </w:r>
          </w:p>
        </w:tc>
        <w:tc>
          <w:tcPr>
            <w:tcW w:w="1483"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$18,141</w:t>
            </w:r>
          </w:p>
        </w:tc>
      </w:tr>
      <w:tr w:rsidR="009506FF">
        <w:trPr>
          <w:trHeight w:val="290"/>
        </w:trPr>
        <w:tc>
          <w:tcPr>
            <w:tcW w:w="2570"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Future Retirees Post-65</w:t>
            </w:r>
          </w:p>
        </w:tc>
        <w:tc>
          <w:tcPr>
            <w:tcW w:w="2140"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$10,543</w:t>
            </w:r>
          </w:p>
        </w:tc>
        <w:tc>
          <w:tcPr>
            <w:tcW w:w="124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$10,784</w:t>
            </w:r>
          </w:p>
        </w:tc>
        <w:tc>
          <w:tcPr>
            <w:tcW w:w="1483"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$10,490</w:t>
            </w:r>
          </w:p>
        </w:tc>
      </w:tr>
    </w:tbl>
    <w:p w:rsidR="00EB26F9" w:rsidRDefault="00EB26F9">
      <w:pPr>
        <w:tabs>
          <w:tab w:val="left" w:pos="-720"/>
        </w:tabs>
        <w:suppressAutoHyphens/>
      </w:pPr>
    </w:p>
    <w:p w:rsidR="00EB26F9" w:rsidRDefault="00EB26F9">
      <w:pPr>
        <w:tabs>
          <w:tab w:val="left" w:pos="-720"/>
        </w:tabs>
        <w:suppressAutoHyphens/>
      </w:pPr>
      <w:r>
        <w:tab/>
      </w:r>
      <w:r>
        <w:rPr>
          <w:i/>
          <w:u w:val="single"/>
        </w:rPr>
        <w:t>PARTICIPATION RATES</w:t>
      </w:r>
      <w:r>
        <w:t>:</w:t>
      </w:r>
      <w:r>
        <w:tab/>
        <w:t>100%</w:t>
      </w:r>
    </w:p>
    <w:p w:rsidR="00EB26F9" w:rsidRDefault="00EB26F9">
      <w:pPr>
        <w:tabs>
          <w:tab w:val="left" w:pos="-720"/>
        </w:tabs>
        <w:suppressAutoHyphens/>
      </w:pPr>
    </w:p>
    <w:p w:rsidR="00EB26F9" w:rsidRDefault="00EB26F9" w:rsidP="004129C5">
      <w:pPr>
        <w:tabs>
          <w:tab w:val="left" w:pos="-720"/>
          <w:tab w:val="left" w:pos="0"/>
          <w:tab w:val="left" w:pos="720"/>
          <w:tab w:val="left" w:pos="1440"/>
        </w:tabs>
        <w:suppressAutoHyphens/>
        <w:ind w:left="2160" w:hanging="2160"/>
      </w:pPr>
      <w:r>
        <w:tab/>
      </w:r>
      <w:r>
        <w:rPr>
          <w:i/>
          <w:u w:val="single"/>
        </w:rPr>
        <w:t>TURNOVER</w:t>
      </w:r>
      <w:r w:rsidR="009506FF">
        <w:t>:</w:t>
      </w:r>
      <w:r w:rsidR="009506FF">
        <w:tab/>
      </w:r>
      <w:proofErr w:type="spellStart"/>
      <w:r>
        <w:t>CalSTRS</w:t>
      </w:r>
      <w:proofErr w:type="spellEnd"/>
      <w:r>
        <w:t xml:space="preserve"> turno</w:t>
      </w:r>
      <w:r w:rsidR="009506FF">
        <w:t>ver for faculty employees.</w:t>
      </w:r>
    </w:p>
    <w:p w:rsidR="00EB26F9" w:rsidRPr="004129C5" w:rsidRDefault="00EB26F9" w:rsidP="009506FF">
      <w:pPr>
        <w:tabs>
          <w:tab w:val="left" w:pos="-720"/>
          <w:tab w:val="left" w:pos="0"/>
          <w:tab w:val="left" w:pos="720"/>
          <w:tab w:val="left" w:pos="1440"/>
        </w:tabs>
        <w:suppressAutoHyphens/>
        <w:ind w:left="2160" w:hanging="2160"/>
      </w:pPr>
      <w:r>
        <w:tab/>
      </w:r>
      <w:r>
        <w:tab/>
      </w:r>
      <w:r>
        <w:tab/>
      </w:r>
      <w:proofErr w:type="spellStart"/>
      <w:r>
        <w:t>CalPERS</w:t>
      </w:r>
      <w:proofErr w:type="spellEnd"/>
      <w:r>
        <w:t xml:space="preserve"> turnover for School</w:t>
      </w:r>
      <w:r w:rsidR="009506FF">
        <w:t xml:space="preserve"> employees for other employees.</w:t>
      </w:r>
    </w:p>
    <w:p w:rsidR="00EB26F9" w:rsidRDefault="00EB26F9" w:rsidP="007F6FA0">
      <w:pPr>
        <w:ind w:left="2160" w:hanging="2160"/>
      </w:pPr>
    </w:p>
    <w:p w:rsidR="00EB26F9" w:rsidRPr="007F6FA0" w:rsidRDefault="00EB26F9" w:rsidP="007F6FA0">
      <w:pPr>
        <w:ind w:left="2160" w:hanging="2160"/>
      </w:pPr>
      <w:r>
        <w:tab/>
      </w:r>
      <w:r w:rsidRPr="007F6FA0">
        <w:rPr>
          <w:i/>
          <w:u w:val="single"/>
        </w:rPr>
        <w:t>SPOUSE PREVALENCE</w:t>
      </w:r>
      <w:r w:rsidRPr="007F6FA0">
        <w:t>:  To the extent not provided and when needed to calculate benefit liabilities, 80% of retirees assumed to be married at retirement. After retirement, the percentage married is adjusted to reflect mortality.</w:t>
      </w:r>
    </w:p>
    <w:p w:rsidR="00EB26F9" w:rsidRDefault="00EB26F9">
      <w:pPr>
        <w:tabs>
          <w:tab w:val="left" w:pos="-720"/>
        </w:tabs>
        <w:suppressAutoHyphens/>
      </w:pPr>
    </w:p>
    <w:p w:rsidR="00EB26F9" w:rsidRPr="007F6FA0" w:rsidRDefault="00EB26F9" w:rsidP="007F6FA0">
      <w:pPr>
        <w:ind w:left="2160" w:hanging="2160"/>
      </w:pPr>
      <w:r>
        <w:tab/>
      </w:r>
      <w:r w:rsidRPr="007F6FA0">
        <w:rPr>
          <w:i/>
          <w:u w:val="single"/>
        </w:rPr>
        <w:t>SPOUSE AGES</w:t>
      </w:r>
      <w:r w:rsidRPr="007F6FA0">
        <w:t>:  To the extent spouse dates of birth are not provided and when needed to calculate benefit liabilities, female spouse assumed to be three years younger than male.</w:t>
      </w:r>
    </w:p>
    <w:p w:rsidR="00EB26F9" w:rsidRDefault="00EB26F9">
      <w:pPr>
        <w:pStyle w:val="Heading2"/>
        <w:jc w:val="center"/>
        <w:rPr>
          <w:rFonts w:ascii="Times New Roman" w:hAnsi="Times New Roman"/>
          <w:i w:val="0"/>
          <w:sz w:val="22"/>
          <w:u w:val="single"/>
        </w:rPr>
      </w:pPr>
      <w:r>
        <w:br w:type="page"/>
      </w:r>
      <w:bookmarkStart w:id="23" w:name="_Toc327518691"/>
      <w:r>
        <w:rPr>
          <w:rFonts w:ascii="Times New Roman" w:hAnsi="Times New Roman"/>
          <w:i w:val="0"/>
          <w:sz w:val="22"/>
          <w:u w:val="single"/>
        </w:rPr>
        <w:t>APPENDIX D:  DISTRIBUTION OF ELIGIBLE PARTICIPANTS BY AGE</w:t>
      </w:r>
      <w:bookmarkEnd w:id="23"/>
    </w:p>
    <w:p w:rsidR="00EB26F9" w:rsidRDefault="00EB26F9">
      <w:pPr>
        <w:tabs>
          <w:tab w:val="left" w:pos="-720"/>
        </w:tabs>
        <w:suppressAutoHyphens/>
      </w:pPr>
    </w:p>
    <w:p w:rsidR="00EB26F9" w:rsidRDefault="00EB26F9">
      <w:pPr>
        <w:tabs>
          <w:tab w:val="left" w:pos="-720"/>
        </w:tabs>
        <w:suppressAutoHyphens/>
      </w:pPr>
    </w:p>
    <w:p w:rsidR="00EB26F9" w:rsidRDefault="00EB26F9">
      <w:pPr>
        <w:tabs>
          <w:tab w:val="left" w:pos="-720"/>
        </w:tabs>
        <w:suppressAutoHyphens/>
        <w:rPr>
          <w:b/>
        </w:rPr>
      </w:pPr>
      <w:r>
        <w:rPr>
          <w:b/>
        </w:rPr>
        <w:t>ELIGIBLE ACTIVE EMPLOYEES:</w:t>
      </w:r>
    </w:p>
    <w:p w:rsidR="00EB26F9" w:rsidRDefault="00EB26F9">
      <w:pPr>
        <w:tabs>
          <w:tab w:val="left" w:pos="-720"/>
        </w:tabs>
        <w:suppressAutoHyphens/>
        <w:rPr>
          <w:snapToGrid/>
          <w:spacing w:val="0"/>
          <w:sz w:val="20"/>
        </w:rPr>
      </w:pPr>
    </w:p>
    <w:tbl>
      <w:tblPr>
        <w:tblW w:w="6845" w:type="dxa"/>
        <w:tblInd w:w="78" w:type="dxa"/>
        <w:tblLayout w:type="fixed"/>
        <w:tblLook w:val="0000"/>
      </w:tblPr>
      <w:tblGrid>
        <w:gridCol w:w="1246"/>
        <w:gridCol w:w="852"/>
        <w:gridCol w:w="1435"/>
        <w:gridCol w:w="1656"/>
        <w:gridCol w:w="1656"/>
      </w:tblGrid>
      <w:tr w:rsidR="009506FF">
        <w:trPr>
          <w:trHeight w:val="276"/>
        </w:trPr>
        <w:tc>
          <w:tcPr>
            <w:tcW w:w="1246" w:type="dxa"/>
            <w:tcBorders>
              <w:top w:val="nil"/>
              <w:left w:val="nil"/>
              <w:bottom w:val="nil"/>
              <w:right w:val="nil"/>
            </w:tcBorders>
            <w:vAlign w:val="bottom"/>
          </w:tcPr>
          <w:p w:rsidR="009506FF" w:rsidRDefault="009506FF">
            <w:pPr>
              <w:autoSpaceDE w:val="0"/>
              <w:autoSpaceDN w:val="0"/>
              <w:adjustRightInd w:val="0"/>
              <w:jc w:val="center"/>
              <w:rPr>
                <w:b/>
                <w:bCs/>
                <w:color w:val="000000"/>
                <w:szCs w:val="22"/>
                <w:u w:val="single"/>
              </w:rPr>
            </w:pPr>
            <w:r>
              <w:rPr>
                <w:b/>
                <w:bCs/>
                <w:color w:val="000000"/>
                <w:szCs w:val="22"/>
                <w:u w:val="single"/>
              </w:rPr>
              <w:t>Age</w:t>
            </w:r>
          </w:p>
        </w:tc>
        <w:tc>
          <w:tcPr>
            <w:tcW w:w="852" w:type="dxa"/>
            <w:tcBorders>
              <w:top w:val="nil"/>
              <w:left w:val="nil"/>
              <w:bottom w:val="nil"/>
              <w:right w:val="nil"/>
            </w:tcBorders>
            <w:vAlign w:val="bottom"/>
          </w:tcPr>
          <w:p w:rsidR="009506FF" w:rsidRDefault="009506FF" w:rsidP="009506FF">
            <w:pPr>
              <w:autoSpaceDE w:val="0"/>
              <w:autoSpaceDN w:val="0"/>
              <w:adjustRightInd w:val="0"/>
              <w:jc w:val="right"/>
              <w:rPr>
                <w:b/>
                <w:bCs/>
                <w:color w:val="000000"/>
                <w:szCs w:val="22"/>
                <w:u w:val="single"/>
              </w:rPr>
            </w:pPr>
            <w:r>
              <w:rPr>
                <w:b/>
                <w:bCs/>
                <w:color w:val="000000"/>
                <w:szCs w:val="22"/>
                <w:u w:val="single"/>
              </w:rPr>
              <w:t>Total</w:t>
            </w:r>
          </w:p>
        </w:tc>
        <w:tc>
          <w:tcPr>
            <w:tcW w:w="1435" w:type="dxa"/>
            <w:tcBorders>
              <w:top w:val="nil"/>
              <w:left w:val="nil"/>
              <w:bottom w:val="nil"/>
              <w:right w:val="nil"/>
            </w:tcBorders>
            <w:vAlign w:val="bottom"/>
          </w:tcPr>
          <w:p w:rsidR="009506FF" w:rsidRDefault="009506FF" w:rsidP="009506FF">
            <w:pPr>
              <w:autoSpaceDE w:val="0"/>
              <w:autoSpaceDN w:val="0"/>
              <w:adjustRightInd w:val="0"/>
              <w:jc w:val="right"/>
              <w:rPr>
                <w:b/>
                <w:bCs/>
                <w:color w:val="000000"/>
                <w:szCs w:val="22"/>
                <w:u w:val="single"/>
              </w:rPr>
            </w:pPr>
            <w:r>
              <w:rPr>
                <w:b/>
                <w:bCs/>
                <w:color w:val="000000"/>
                <w:szCs w:val="22"/>
                <w:u w:val="single"/>
              </w:rPr>
              <w:t>Faculty</w:t>
            </w:r>
          </w:p>
        </w:tc>
        <w:tc>
          <w:tcPr>
            <w:tcW w:w="1656" w:type="dxa"/>
            <w:tcBorders>
              <w:top w:val="nil"/>
              <w:left w:val="nil"/>
              <w:bottom w:val="nil"/>
              <w:right w:val="nil"/>
            </w:tcBorders>
            <w:vAlign w:val="bottom"/>
          </w:tcPr>
          <w:p w:rsidR="009506FF" w:rsidRDefault="009506FF" w:rsidP="009506FF">
            <w:pPr>
              <w:autoSpaceDE w:val="0"/>
              <w:autoSpaceDN w:val="0"/>
              <w:adjustRightInd w:val="0"/>
              <w:jc w:val="right"/>
              <w:rPr>
                <w:b/>
                <w:bCs/>
                <w:color w:val="000000"/>
                <w:szCs w:val="22"/>
                <w:u w:val="single"/>
              </w:rPr>
            </w:pPr>
            <w:r>
              <w:rPr>
                <w:b/>
                <w:bCs/>
                <w:color w:val="000000"/>
                <w:szCs w:val="22"/>
                <w:u w:val="single"/>
              </w:rPr>
              <w:t>Classified</w:t>
            </w:r>
          </w:p>
        </w:tc>
        <w:tc>
          <w:tcPr>
            <w:tcW w:w="1656" w:type="dxa"/>
            <w:tcBorders>
              <w:top w:val="nil"/>
              <w:left w:val="nil"/>
              <w:bottom w:val="nil"/>
              <w:right w:val="nil"/>
            </w:tcBorders>
            <w:vAlign w:val="bottom"/>
          </w:tcPr>
          <w:p w:rsidR="009506FF" w:rsidRDefault="009506FF" w:rsidP="009506FF">
            <w:pPr>
              <w:autoSpaceDE w:val="0"/>
              <w:autoSpaceDN w:val="0"/>
              <w:adjustRightInd w:val="0"/>
              <w:jc w:val="right"/>
              <w:rPr>
                <w:b/>
                <w:bCs/>
                <w:color w:val="000000"/>
                <w:szCs w:val="22"/>
                <w:u w:val="single"/>
              </w:rPr>
            </w:pPr>
            <w:r>
              <w:rPr>
                <w:b/>
                <w:bCs/>
                <w:color w:val="000000"/>
                <w:szCs w:val="22"/>
                <w:u w:val="single"/>
              </w:rPr>
              <w:t>Management</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Under 25</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3</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0</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3</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0</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25-29</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29</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28</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0</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30-34</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79</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18</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56</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5</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35-39</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113</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31</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73</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9</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40-44</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175</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53</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99</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23</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45-49</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162</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47</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102</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13</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50-54</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208</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55</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128</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25</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55-59</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194</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76</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91</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27</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60-64</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165</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83</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63</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19</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65 and older</w:t>
            </w:r>
          </w:p>
        </w:tc>
        <w:tc>
          <w:tcPr>
            <w:tcW w:w="852" w:type="dxa"/>
            <w:tcBorders>
              <w:top w:val="nil"/>
              <w:left w:val="nil"/>
              <w:bottom w:val="single" w:sz="6" w:space="0" w:color="auto"/>
              <w:right w:val="nil"/>
            </w:tcBorders>
          </w:tcPr>
          <w:p w:rsidR="009506FF" w:rsidRDefault="009506FF">
            <w:pPr>
              <w:autoSpaceDE w:val="0"/>
              <w:autoSpaceDN w:val="0"/>
              <w:adjustRightInd w:val="0"/>
              <w:jc w:val="right"/>
              <w:rPr>
                <w:color w:val="000000"/>
                <w:szCs w:val="22"/>
              </w:rPr>
            </w:pPr>
            <w:r>
              <w:rPr>
                <w:color w:val="000000"/>
                <w:szCs w:val="22"/>
              </w:rPr>
              <w:t>86</w:t>
            </w:r>
          </w:p>
        </w:tc>
        <w:tc>
          <w:tcPr>
            <w:tcW w:w="1435" w:type="dxa"/>
            <w:tcBorders>
              <w:top w:val="nil"/>
              <w:left w:val="nil"/>
              <w:bottom w:val="single" w:sz="6" w:space="0" w:color="auto"/>
              <w:right w:val="nil"/>
            </w:tcBorders>
          </w:tcPr>
          <w:p w:rsidR="009506FF" w:rsidRDefault="009506FF">
            <w:pPr>
              <w:autoSpaceDE w:val="0"/>
              <w:autoSpaceDN w:val="0"/>
              <w:adjustRightInd w:val="0"/>
              <w:jc w:val="right"/>
              <w:rPr>
                <w:color w:val="000000"/>
                <w:szCs w:val="22"/>
              </w:rPr>
            </w:pPr>
            <w:r>
              <w:rPr>
                <w:color w:val="000000"/>
                <w:szCs w:val="22"/>
              </w:rPr>
              <w:t>47</w:t>
            </w:r>
          </w:p>
        </w:tc>
        <w:tc>
          <w:tcPr>
            <w:tcW w:w="1656" w:type="dxa"/>
            <w:tcBorders>
              <w:top w:val="nil"/>
              <w:left w:val="nil"/>
              <w:bottom w:val="single" w:sz="6" w:space="0" w:color="auto"/>
              <w:right w:val="nil"/>
            </w:tcBorders>
          </w:tcPr>
          <w:p w:rsidR="009506FF" w:rsidRDefault="009506FF">
            <w:pPr>
              <w:autoSpaceDE w:val="0"/>
              <w:autoSpaceDN w:val="0"/>
              <w:adjustRightInd w:val="0"/>
              <w:jc w:val="right"/>
              <w:rPr>
                <w:color w:val="000000"/>
                <w:szCs w:val="22"/>
              </w:rPr>
            </w:pPr>
            <w:r>
              <w:rPr>
                <w:color w:val="000000"/>
                <w:szCs w:val="22"/>
              </w:rPr>
              <w:t>32</w:t>
            </w:r>
          </w:p>
        </w:tc>
        <w:tc>
          <w:tcPr>
            <w:tcW w:w="1656" w:type="dxa"/>
            <w:tcBorders>
              <w:top w:val="nil"/>
              <w:left w:val="nil"/>
              <w:bottom w:val="single" w:sz="6" w:space="0" w:color="auto"/>
              <w:right w:val="nil"/>
            </w:tcBorders>
          </w:tcPr>
          <w:p w:rsidR="009506FF" w:rsidRDefault="009506FF">
            <w:pPr>
              <w:autoSpaceDE w:val="0"/>
              <w:autoSpaceDN w:val="0"/>
              <w:adjustRightInd w:val="0"/>
              <w:jc w:val="right"/>
              <w:rPr>
                <w:color w:val="000000"/>
                <w:szCs w:val="22"/>
              </w:rPr>
            </w:pPr>
            <w:r>
              <w:rPr>
                <w:color w:val="000000"/>
                <w:szCs w:val="22"/>
              </w:rPr>
              <w:t>7</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right"/>
              <w:rPr>
                <w:color w:val="000000"/>
              </w:rPr>
            </w:pPr>
            <w:r>
              <w:rPr>
                <w:color w:val="000000"/>
              </w:rPr>
              <w:t>Total</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1214</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411</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675</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128</w:t>
            </w:r>
          </w:p>
        </w:tc>
      </w:tr>
    </w:tbl>
    <w:p w:rsidR="00EB26F9" w:rsidRDefault="00EB26F9">
      <w:pPr>
        <w:tabs>
          <w:tab w:val="left" w:pos="-720"/>
        </w:tabs>
        <w:suppressAutoHyphens/>
      </w:pPr>
    </w:p>
    <w:p w:rsidR="00EB26F9" w:rsidRDefault="00EB26F9">
      <w:pPr>
        <w:tabs>
          <w:tab w:val="left" w:pos="-720"/>
        </w:tabs>
        <w:suppressAutoHyphens/>
      </w:pPr>
    </w:p>
    <w:p w:rsidR="00EB26F9" w:rsidRDefault="00EB26F9">
      <w:pPr>
        <w:tabs>
          <w:tab w:val="left" w:pos="-720"/>
        </w:tabs>
        <w:suppressAutoHyphens/>
        <w:rPr>
          <w:b/>
        </w:rPr>
      </w:pPr>
      <w:r>
        <w:rPr>
          <w:b/>
        </w:rPr>
        <w:t>ELIGIBLE RETIREES:</w:t>
      </w:r>
    </w:p>
    <w:p w:rsidR="00EB26F9" w:rsidRDefault="00EB26F9">
      <w:pPr>
        <w:tabs>
          <w:tab w:val="left" w:pos="-720"/>
        </w:tabs>
        <w:suppressAutoHyphens/>
        <w:rPr>
          <w:snapToGrid/>
          <w:spacing w:val="0"/>
          <w:sz w:val="20"/>
        </w:rPr>
      </w:pPr>
    </w:p>
    <w:tbl>
      <w:tblPr>
        <w:tblW w:w="6845" w:type="dxa"/>
        <w:tblInd w:w="78" w:type="dxa"/>
        <w:tblLayout w:type="fixed"/>
        <w:tblLook w:val="0000"/>
      </w:tblPr>
      <w:tblGrid>
        <w:gridCol w:w="1246"/>
        <w:gridCol w:w="852"/>
        <w:gridCol w:w="1435"/>
        <w:gridCol w:w="1656"/>
        <w:gridCol w:w="1656"/>
      </w:tblGrid>
      <w:tr w:rsidR="009506FF">
        <w:trPr>
          <w:trHeight w:val="276"/>
        </w:trPr>
        <w:tc>
          <w:tcPr>
            <w:tcW w:w="1246" w:type="dxa"/>
            <w:tcBorders>
              <w:top w:val="nil"/>
              <w:left w:val="nil"/>
              <w:bottom w:val="nil"/>
              <w:right w:val="nil"/>
            </w:tcBorders>
            <w:vAlign w:val="bottom"/>
          </w:tcPr>
          <w:p w:rsidR="009506FF" w:rsidRDefault="009506FF">
            <w:pPr>
              <w:autoSpaceDE w:val="0"/>
              <w:autoSpaceDN w:val="0"/>
              <w:adjustRightInd w:val="0"/>
              <w:jc w:val="center"/>
              <w:rPr>
                <w:b/>
                <w:bCs/>
                <w:color w:val="000000"/>
                <w:szCs w:val="22"/>
                <w:u w:val="single"/>
              </w:rPr>
            </w:pPr>
            <w:r>
              <w:rPr>
                <w:b/>
                <w:bCs/>
                <w:color w:val="000000"/>
                <w:szCs w:val="22"/>
                <w:u w:val="single"/>
              </w:rPr>
              <w:t>Age</w:t>
            </w:r>
          </w:p>
        </w:tc>
        <w:tc>
          <w:tcPr>
            <w:tcW w:w="852" w:type="dxa"/>
            <w:tcBorders>
              <w:top w:val="nil"/>
              <w:left w:val="nil"/>
              <w:bottom w:val="nil"/>
              <w:right w:val="nil"/>
            </w:tcBorders>
            <w:vAlign w:val="bottom"/>
          </w:tcPr>
          <w:p w:rsidR="009506FF" w:rsidRDefault="009506FF" w:rsidP="009506FF">
            <w:pPr>
              <w:autoSpaceDE w:val="0"/>
              <w:autoSpaceDN w:val="0"/>
              <w:adjustRightInd w:val="0"/>
              <w:jc w:val="right"/>
              <w:rPr>
                <w:b/>
                <w:bCs/>
                <w:color w:val="000000"/>
                <w:szCs w:val="22"/>
                <w:u w:val="single"/>
              </w:rPr>
            </w:pPr>
            <w:r>
              <w:rPr>
                <w:b/>
                <w:bCs/>
                <w:color w:val="000000"/>
                <w:szCs w:val="22"/>
                <w:u w:val="single"/>
              </w:rPr>
              <w:t>Total</w:t>
            </w:r>
          </w:p>
        </w:tc>
        <w:tc>
          <w:tcPr>
            <w:tcW w:w="1435" w:type="dxa"/>
            <w:tcBorders>
              <w:top w:val="nil"/>
              <w:left w:val="nil"/>
              <w:bottom w:val="nil"/>
              <w:right w:val="nil"/>
            </w:tcBorders>
            <w:vAlign w:val="bottom"/>
          </w:tcPr>
          <w:p w:rsidR="009506FF" w:rsidRDefault="009506FF" w:rsidP="009506FF">
            <w:pPr>
              <w:autoSpaceDE w:val="0"/>
              <w:autoSpaceDN w:val="0"/>
              <w:adjustRightInd w:val="0"/>
              <w:jc w:val="right"/>
              <w:rPr>
                <w:b/>
                <w:bCs/>
                <w:color w:val="000000"/>
                <w:szCs w:val="22"/>
                <w:u w:val="single"/>
              </w:rPr>
            </w:pPr>
            <w:r>
              <w:rPr>
                <w:b/>
                <w:bCs/>
                <w:color w:val="000000"/>
                <w:szCs w:val="22"/>
                <w:u w:val="single"/>
              </w:rPr>
              <w:t>Faculty</w:t>
            </w:r>
          </w:p>
        </w:tc>
        <w:tc>
          <w:tcPr>
            <w:tcW w:w="1656" w:type="dxa"/>
            <w:tcBorders>
              <w:top w:val="nil"/>
              <w:left w:val="nil"/>
              <w:bottom w:val="nil"/>
              <w:right w:val="nil"/>
            </w:tcBorders>
            <w:vAlign w:val="bottom"/>
          </w:tcPr>
          <w:p w:rsidR="009506FF" w:rsidRDefault="009506FF" w:rsidP="009506FF">
            <w:pPr>
              <w:autoSpaceDE w:val="0"/>
              <w:autoSpaceDN w:val="0"/>
              <w:adjustRightInd w:val="0"/>
              <w:jc w:val="right"/>
              <w:rPr>
                <w:b/>
                <w:bCs/>
                <w:color w:val="000000"/>
                <w:szCs w:val="22"/>
                <w:u w:val="single"/>
              </w:rPr>
            </w:pPr>
            <w:r>
              <w:rPr>
                <w:b/>
                <w:bCs/>
                <w:color w:val="000000"/>
                <w:szCs w:val="22"/>
                <w:u w:val="single"/>
              </w:rPr>
              <w:t>Classified</w:t>
            </w:r>
          </w:p>
        </w:tc>
        <w:tc>
          <w:tcPr>
            <w:tcW w:w="1656" w:type="dxa"/>
            <w:tcBorders>
              <w:top w:val="nil"/>
              <w:left w:val="nil"/>
              <w:bottom w:val="nil"/>
              <w:right w:val="nil"/>
            </w:tcBorders>
            <w:vAlign w:val="bottom"/>
          </w:tcPr>
          <w:p w:rsidR="009506FF" w:rsidRDefault="009506FF" w:rsidP="009506FF">
            <w:pPr>
              <w:autoSpaceDE w:val="0"/>
              <w:autoSpaceDN w:val="0"/>
              <w:adjustRightInd w:val="0"/>
              <w:jc w:val="right"/>
              <w:rPr>
                <w:b/>
                <w:bCs/>
                <w:color w:val="000000"/>
                <w:szCs w:val="22"/>
                <w:u w:val="single"/>
              </w:rPr>
            </w:pPr>
            <w:r>
              <w:rPr>
                <w:b/>
                <w:bCs/>
                <w:color w:val="000000"/>
                <w:szCs w:val="22"/>
                <w:u w:val="single"/>
              </w:rPr>
              <w:t>Management</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Under 50</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0</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0</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50-54</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11</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0</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8</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3</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55-59</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46</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31</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13</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60-64</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127</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45</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51</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31</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65-69</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238</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115</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74</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49</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70-74</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159</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86</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36</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37</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75-79</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89</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51</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20</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18</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80-84</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19</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15</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85-89</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12</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8</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3</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center"/>
              <w:rPr>
                <w:color w:val="000000"/>
                <w:szCs w:val="22"/>
              </w:rPr>
            </w:pPr>
            <w:r>
              <w:rPr>
                <w:color w:val="000000"/>
                <w:szCs w:val="22"/>
              </w:rPr>
              <w:t>90 and older</w:t>
            </w:r>
          </w:p>
        </w:tc>
        <w:tc>
          <w:tcPr>
            <w:tcW w:w="852" w:type="dxa"/>
            <w:tcBorders>
              <w:top w:val="nil"/>
              <w:left w:val="nil"/>
              <w:bottom w:val="single" w:sz="6" w:space="0" w:color="auto"/>
              <w:right w:val="nil"/>
            </w:tcBorders>
          </w:tcPr>
          <w:p w:rsidR="009506FF" w:rsidRDefault="009506FF">
            <w:pPr>
              <w:autoSpaceDE w:val="0"/>
              <w:autoSpaceDN w:val="0"/>
              <w:adjustRightInd w:val="0"/>
              <w:jc w:val="right"/>
              <w:rPr>
                <w:color w:val="000000"/>
                <w:szCs w:val="22"/>
              </w:rPr>
            </w:pPr>
            <w:r>
              <w:rPr>
                <w:color w:val="000000"/>
                <w:szCs w:val="22"/>
              </w:rPr>
              <w:t>6</w:t>
            </w:r>
          </w:p>
        </w:tc>
        <w:tc>
          <w:tcPr>
            <w:tcW w:w="1435" w:type="dxa"/>
            <w:tcBorders>
              <w:top w:val="nil"/>
              <w:left w:val="nil"/>
              <w:bottom w:val="single" w:sz="6" w:space="0" w:color="auto"/>
              <w:right w:val="nil"/>
            </w:tcBorders>
          </w:tcPr>
          <w:p w:rsidR="009506FF" w:rsidRDefault="009506FF">
            <w:pPr>
              <w:autoSpaceDE w:val="0"/>
              <w:autoSpaceDN w:val="0"/>
              <w:adjustRightInd w:val="0"/>
              <w:jc w:val="right"/>
              <w:rPr>
                <w:color w:val="000000"/>
                <w:szCs w:val="22"/>
              </w:rPr>
            </w:pPr>
            <w:r>
              <w:rPr>
                <w:color w:val="000000"/>
                <w:szCs w:val="22"/>
              </w:rPr>
              <w:t>4</w:t>
            </w:r>
          </w:p>
        </w:tc>
        <w:tc>
          <w:tcPr>
            <w:tcW w:w="1656" w:type="dxa"/>
            <w:tcBorders>
              <w:top w:val="nil"/>
              <w:left w:val="nil"/>
              <w:bottom w:val="single" w:sz="6" w:space="0" w:color="auto"/>
              <w:right w:val="nil"/>
            </w:tcBorders>
          </w:tcPr>
          <w:p w:rsidR="009506FF" w:rsidRDefault="009506FF">
            <w:pPr>
              <w:autoSpaceDE w:val="0"/>
              <w:autoSpaceDN w:val="0"/>
              <w:adjustRightInd w:val="0"/>
              <w:jc w:val="right"/>
              <w:rPr>
                <w:color w:val="000000"/>
                <w:szCs w:val="22"/>
              </w:rPr>
            </w:pPr>
            <w:r>
              <w:rPr>
                <w:color w:val="000000"/>
                <w:szCs w:val="22"/>
              </w:rPr>
              <w:t>1</w:t>
            </w:r>
          </w:p>
        </w:tc>
        <w:tc>
          <w:tcPr>
            <w:tcW w:w="1656" w:type="dxa"/>
            <w:tcBorders>
              <w:top w:val="nil"/>
              <w:left w:val="nil"/>
              <w:bottom w:val="single" w:sz="6" w:space="0" w:color="auto"/>
              <w:right w:val="nil"/>
            </w:tcBorders>
          </w:tcPr>
          <w:p w:rsidR="009506FF" w:rsidRDefault="009506FF">
            <w:pPr>
              <w:autoSpaceDE w:val="0"/>
              <w:autoSpaceDN w:val="0"/>
              <w:adjustRightInd w:val="0"/>
              <w:jc w:val="right"/>
              <w:rPr>
                <w:color w:val="000000"/>
                <w:szCs w:val="22"/>
              </w:rPr>
            </w:pPr>
            <w:r>
              <w:rPr>
                <w:color w:val="000000"/>
                <w:szCs w:val="22"/>
              </w:rPr>
              <w:t>1</w:t>
            </w:r>
          </w:p>
        </w:tc>
      </w:tr>
      <w:tr w:rsidR="009506FF">
        <w:trPr>
          <w:trHeight w:val="290"/>
        </w:trPr>
        <w:tc>
          <w:tcPr>
            <w:tcW w:w="1246" w:type="dxa"/>
            <w:tcBorders>
              <w:top w:val="nil"/>
              <w:left w:val="nil"/>
              <w:bottom w:val="nil"/>
              <w:right w:val="nil"/>
            </w:tcBorders>
          </w:tcPr>
          <w:p w:rsidR="009506FF" w:rsidRDefault="009506FF">
            <w:pPr>
              <w:autoSpaceDE w:val="0"/>
              <w:autoSpaceDN w:val="0"/>
              <w:adjustRightInd w:val="0"/>
              <w:jc w:val="right"/>
              <w:rPr>
                <w:color w:val="000000"/>
              </w:rPr>
            </w:pPr>
            <w:r>
              <w:rPr>
                <w:color w:val="000000"/>
              </w:rPr>
              <w:t>Total</w:t>
            </w:r>
          </w:p>
        </w:tc>
        <w:tc>
          <w:tcPr>
            <w:tcW w:w="852"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708</w:t>
            </w:r>
          </w:p>
        </w:tc>
        <w:tc>
          <w:tcPr>
            <w:tcW w:w="1435"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326</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227</w:t>
            </w:r>
          </w:p>
        </w:tc>
        <w:tc>
          <w:tcPr>
            <w:tcW w:w="1656" w:type="dxa"/>
            <w:tcBorders>
              <w:top w:val="nil"/>
              <w:left w:val="nil"/>
              <w:bottom w:val="nil"/>
              <w:right w:val="nil"/>
            </w:tcBorders>
          </w:tcPr>
          <w:p w:rsidR="009506FF" w:rsidRDefault="009506FF">
            <w:pPr>
              <w:autoSpaceDE w:val="0"/>
              <w:autoSpaceDN w:val="0"/>
              <w:adjustRightInd w:val="0"/>
              <w:jc w:val="right"/>
              <w:rPr>
                <w:color w:val="000000"/>
                <w:szCs w:val="22"/>
              </w:rPr>
            </w:pPr>
            <w:r>
              <w:rPr>
                <w:color w:val="000000"/>
                <w:szCs w:val="22"/>
              </w:rPr>
              <w:t>155</w:t>
            </w:r>
          </w:p>
        </w:tc>
      </w:tr>
    </w:tbl>
    <w:p w:rsidR="00EB26F9" w:rsidRDefault="00EB26F9">
      <w:pPr>
        <w:tabs>
          <w:tab w:val="left" w:pos="-720"/>
        </w:tabs>
        <w:suppressAutoHyphens/>
        <w:rPr>
          <w:b/>
        </w:rPr>
      </w:pPr>
    </w:p>
    <w:p w:rsidR="00EB26F9" w:rsidRDefault="00EB26F9">
      <w:pPr>
        <w:pStyle w:val="Heading2"/>
        <w:jc w:val="center"/>
        <w:rPr>
          <w:rFonts w:ascii="Times New Roman" w:hAnsi="Times New Roman"/>
          <w:i w:val="0"/>
          <w:sz w:val="22"/>
          <w:u w:val="single"/>
        </w:rPr>
      </w:pPr>
      <w:r>
        <w:br w:type="page"/>
      </w:r>
      <w:bookmarkStart w:id="24" w:name="_Toc327518692"/>
      <w:r>
        <w:rPr>
          <w:rFonts w:ascii="Times New Roman" w:hAnsi="Times New Roman"/>
          <w:i w:val="0"/>
          <w:sz w:val="22"/>
          <w:u w:val="single"/>
        </w:rPr>
        <w:t>APPENDIX E:  CALCULATION OF GASB 43/45 ACCOUNTING ENTRIES</w:t>
      </w:r>
      <w:bookmarkEnd w:id="24"/>
    </w:p>
    <w:p w:rsidR="00EB26F9" w:rsidRDefault="00EB26F9">
      <w:pPr>
        <w:tabs>
          <w:tab w:val="left" w:pos="-720"/>
        </w:tabs>
        <w:suppressAutoHyphens/>
      </w:pPr>
    </w:p>
    <w:p w:rsidR="00EB26F9" w:rsidRDefault="00EB26F9">
      <w:pPr>
        <w:tabs>
          <w:tab w:val="left" w:pos="-720"/>
        </w:tabs>
        <w:suppressAutoHyphens/>
      </w:pPr>
    </w:p>
    <w:p w:rsidR="00EB26F9" w:rsidRDefault="00EB26F9">
      <w:pPr>
        <w:tabs>
          <w:tab w:val="left" w:pos="-720"/>
        </w:tabs>
        <w:suppressAutoHyphens/>
      </w:pPr>
      <w:r>
        <w:tab/>
        <w:t>This report is to be used to calculate accounting entries rather than to provide the dollar amount of accounting entries. How the report is to be used to calculate accounting entries depends on several factors. Among them are:</w:t>
      </w:r>
    </w:p>
    <w:p w:rsidR="00EB26F9" w:rsidRDefault="00EB26F9">
      <w:pPr>
        <w:tabs>
          <w:tab w:val="left" w:pos="-720"/>
        </w:tabs>
        <w:suppressAutoHyphens/>
      </w:pPr>
    </w:p>
    <w:p w:rsidR="00EB26F9" w:rsidRDefault="00EB26F9" w:rsidP="00650CDC">
      <w:pPr>
        <w:numPr>
          <w:ilvl w:val="0"/>
          <w:numId w:val="5"/>
        </w:numPr>
        <w:tabs>
          <w:tab w:val="left" w:pos="-720"/>
        </w:tabs>
        <w:suppressAutoHyphens/>
      </w:pPr>
      <w:r>
        <w:t>The amount of prior accounting entries;</w:t>
      </w:r>
      <w:r>
        <w:br/>
      </w:r>
    </w:p>
    <w:p w:rsidR="00EB26F9" w:rsidRDefault="00EB26F9" w:rsidP="00650CDC">
      <w:pPr>
        <w:numPr>
          <w:ilvl w:val="0"/>
          <w:numId w:val="5"/>
        </w:numPr>
        <w:tabs>
          <w:tab w:val="left" w:pos="-720"/>
        </w:tabs>
        <w:suppressAutoHyphens/>
      </w:pPr>
      <w:r>
        <w:t>Whether individual components of the ARC are calculated as a level dollar amount or as a level percentage of payroll;</w:t>
      </w:r>
      <w:r>
        <w:br/>
      </w:r>
    </w:p>
    <w:p w:rsidR="00EB26F9" w:rsidRDefault="00EB26F9" w:rsidP="00650CDC">
      <w:pPr>
        <w:numPr>
          <w:ilvl w:val="0"/>
          <w:numId w:val="5"/>
        </w:numPr>
        <w:tabs>
          <w:tab w:val="left" w:pos="-720"/>
        </w:tabs>
        <w:suppressAutoHyphens/>
      </w:pPr>
      <w:r>
        <w:t>Whether the employer using a level percentage of payroll method elects to use for this purpose projected payroll, budgeted payroll or actual payroll;</w:t>
      </w:r>
      <w:r>
        <w:br/>
      </w:r>
    </w:p>
    <w:p w:rsidR="00EB26F9" w:rsidRDefault="00EB26F9" w:rsidP="00650CDC">
      <w:pPr>
        <w:numPr>
          <w:ilvl w:val="0"/>
          <w:numId w:val="5"/>
        </w:numPr>
        <w:tabs>
          <w:tab w:val="left" w:pos="-720"/>
        </w:tabs>
        <w:suppressAutoHyphens/>
      </w:pPr>
      <w:r>
        <w:t>Whether the employer chooses to adjust the numbers in the report to reflect the difference between the valuation date and the first fiscal year for which the numbers will be used.</w:t>
      </w:r>
    </w:p>
    <w:p w:rsidR="00EB26F9" w:rsidRDefault="00EB26F9">
      <w:pPr>
        <w:tabs>
          <w:tab w:val="left" w:pos="-720"/>
        </w:tabs>
        <w:suppressAutoHyphens/>
      </w:pPr>
    </w:p>
    <w:p w:rsidR="00EB26F9" w:rsidRDefault="00EB26F9">
      <w:pPr>
        <w:tabs>
          <w:tab w:val="left" w:pos="-720"/>
        </w:tabs>
        <w:suppressAutoHyphens/>
      </w:pPr>
      <w:r>
        <w:t>To the extent the level percentage of payroll method is used, the employer should adjust the numbers in this report as appropriate to reflect the change in OPEB covered payroll. It should be noted that OPEB covered payroll should only reflect types of pay generating pension credits for plan participants. Please note that plan participants do not necessarily include all active employees eligible for health benefits for several reasons. Following are examples.</w:t>
      </w:r>
    </w:p>
    <w:p w:rsidR="00EB26F9" w:rsidRDefault="00EB26F9">
      <w:pPr>
        <w:tabs>
          <w:tab w:val="left" w:pos="-720"/>
        </w:tabs>
        <w:suppressAutoHyphens/>
      </w:pPr>
    </w:p>
    <w:p w:rsidR="00EB26F9" w:rsidRDefault="00EB26F9" w:rsidP="00650CDC">
      <w:pPr>
        <w:numPr>
          <w:ilvl w:val="0"/>
          <w:numId w:val="6"/>
        </w:numPr>
        <w:tabs>
          <w:tab w:val="left" w:pos="-720"/>
        </w:tabs>
        <w:suppressAutoHyphens/>
      </w:pPr>
      <w:r>
        <w:t>The number of hours worked or other eligibility criteria may differ for OPEB compared to active health benefits;</w:t>
      </w:r>
      <w:r>
        <w:br/>
      </w:r>
    </w:p>
    <w:p w:rsidR="00EB26F9" w:rsidRDefault="00EB26F9" w:rsidP="00650CDC">
      <w:pPr>
        <w:numPr>
          <w:ilvl w:val="0"/>
          <w:numId w:val="6"/>
        </w:numPr>
        <w:tabs>
          <w:tab w:val="left" w:pos="-720"/>
        </w:tabs>
        <w:suppressAutoHyphens/>
      </w:pPr>
      <w:r>
        <w:t>There may be active employees over the maximum age OPEB are paid through. For example, if an OPEB plan pays benefits only to Medicare age, any active employees currently over Medicare age are not plan participants;</w:t>
      </w:r>
      <w:r>
        <w:br/>
      </w:r>
    </w:p>
    <w:p w:rsidR="00EB26F9" w:rsidRDefault="00EB26F9" w:rsidP="00650CDC">
      <w:pPr>
        <w:numPr>
          <w:ilvl w:val="0"/>
          <w:numId w:val="6"/>
        </w:numPr>
        <w:tabs>
          <w:tab w:val="left" w:pos="-720"/>
        </w:tabs>
        <w:suppressAutoHyphens/>
      </w:pPr>
      <w:r>
        <w:t>Employees hired at an age where they will exceed the maximum age for benefits when the service requirement is met are also not plan participants.</w:t>
      </w:r>
    </w:p>
    <w:p w:rsidR="00EB26F9" w:rsidRDefault="00EB26F9" w:rsidP="00CB5329">
      <w:pPr>
        <w:tabs>
          <w:tab w:val="left" w:pos="-720"/>
        </w:tabs>
        <w:suppressAutoHyphens/>
      </w:pPr>
    </w:p>
    <w:p w:rsidR="00EB26F9" w:rsidRDefault="00EB26F9" w:rsidP="00CB5329">
      <w:pPr>
        <w:tabs>
          <w:tab w:val="left" w:pos="-720"/>
        </w:tabs>
        <w:suppressAutoHyphens/>
      </w:pPr>
      <w:r>
        <w:t>Finally, GASB 43 and 45 require reporting covered payroll in RSI schedules regardless of whether any ARC component is based on the level percentage of payroll method. This report does not provide, nor should the actuary be relied on to report covered payroll.</w:t>
      </w:r>
    </w:p>
    <w:p w:rsidR="00EB26F9" w:rsidRDefault="00EB26F9" w:rsidP="00CB5329">
      <w:pPr>
        <w:tabs>
          <w:tab w:val="left" w:pos="-720"/>
        </w:tabs>
        <w:suppressAutoHyphens/>
      </w:pPr>
    </w:p>
    <w:p w:rsidR="00EB26F9" w:rsidRPr="00867159" w:rsidRDefault="00EB26F9" w:rsidP="00867159">
      <w:pPr>
        <w:pStyle w:val="PlainText"/>
        <w:rPr>
          <w:rFonts w:ascii="Times New Roman" w:hAnsi="Times New Roman" w:cs="Times New Roman"/>
          <w:sz w:val="22"/>
          <w:szCs w:val="22"/>
        </w:rPr>
      </w:pPr>
      <w:r>
        <w:rPr>
          <w:rFonts w:ascii="Times New Roman" w:hAnsi="Times New Roman" w:cs="Times New Roman"/>
          <w:sz w:val="22"/>
          <w:szCs w:val="22"/>
        </w:rPr>
        <w:t>GASB 45</w:t>
      </w:r>
      <w:r w:rsidRPr="00867159">
        <w:rPr>
          <w:rFonts w:ascii="Times New Roman" w:hAnsi="Times New Roman" w:cs="Times New Roman"/>
          <w:sz w:val="22"/>
          <w:szCs w:val="22"/>
        </w:rPr>
        <w:t xml:space="preserve"> Paragraph 26 specifies that the items presented as RSI "should be calculated in accordance with the parameters." The RSI items refer to Paragraph 25.c which includes annual covered payroll. Footnote 3 provides that when the ARC is based on covered payroll, the payroll measure may be the projected payroll, budgeted payroll or actual payroll. Footnote 3 further provides that comparisons between the ARC and contributions should be based on the same measure of covered payroll.</w:t>
      </w:r>
    </w:p>
    <w:p w:rsidR="00EB26F9" w:rsidRPr="00867159" w:rsidRDefault="00EB26F9" w:rsidP="00867159">
      <w:pPr>
        <w:pStyle w:val="PlainText"/>
        <w:rPr>
          <w:rFonts w:ascii="Times New Roman" w:hAnsi="Times New Roman" w:cs="Times New Roman"/>
          <w:sz w:val="22"/>
          <w:szCs w:val="22"/>
        </w:rPr>
      </w:pPr>
    </w:p>
    <w:p w:rsidR="00EB26F9" w:rsidRPr="00867159" w:rsidRDefault="00EB26F9" w:rsidP="00867159">
      <w:pPr>
        <w:pStyle w:val="PlainText"/>
        <w:rPr>
          <w:rFonts w:ascii="Times New Roman" w:hAnsi="Times New Roman" w:cs="Times New Roman"/>
          <w:sz w:val="22"/>
          <w:szCs w:val="22"/>
        </w:rPr>
      </w:pPr>
      <w:r w:rsidRPr="00867159">
        <w:rPr>
          <w:rFonts w:ascii="Times New Roman" w:hAnsi="Times New Roman" w:cs="Times New Roman"/>
          <w:sz w:val="22"/>
          <w:szCs w:val="22"/>
        </w:rPr>
        <w:t xml:space="preserve">At the time </w:t>
      </w:r>
      <w:r>
        <w:rPr>
          <w:rFonts w:ascii="Times New Roman" w:hAnsi="Times New Roman" w:cs="Times New Roman"/>
          <w:sz w:val="22"/>
          <w:szCs w:val="22"/>
        </w:rPr>
        <w:t xml:space="preserve">the </w:t>
      </w:r>
      <w:r w:rsidRPr="00867159">
        <w:rPr>
          <w:rFonts w:ascii="Times New Roman" w:hAnsi="Times New Roman" w:cs="Times New Roman"/>
          <w:sz w:val="22"/>
          <w:szCs w:val="22"/>
        </w:rPr>
        <w:t>valuation</w:t>
      </w:r>
      <w:r>
        <w:rPr>
          <w:rFonts w:ascii="Times New Roman" w:hAnsi="Times New Roman" w:cs="Times New Roman"/>
          <w:sz w:val="22"/>
          <w:szCs w:val="22"/>
        </w:rPr>
        <w:t xml:space="preserve"> is being done</w:t>
      </w:r>
      <w:r w:rsidRPr="00867159">
        <w:rPr>
          <w:rFonts w:ascii="Times New Roman" w:hAnsi="Times New Roman" w:cs="Times New Roman"/>
          <w:sz w:val="22"/>
          <w:szCs w:val="22"/>
        </w:rPr>
        <w:t xml:space="preserve">, </w:t>
      </w:r>
      <w:r>
        <w:rPr>
          <w:rFonts w:ascii="Times New Roman" w:hAnsi="Times New Roman" w:cs="Times New Roman"/>
          <w:sz w:val="22"/>
          <w:szCs w:val="22"/>
        </w:rPr>
        <w:t>the actuary may not</w:t>
      </w:r>
      <w:r w:rsidRPr="00867159">
        <w:rPr>
          <w:rFonts w:ascii="Times New Roman" w:hAnsi="Times New Roman" w:cs="Times New Roman"/>
          <w:sz w:val="22"/>
          <w:szCs w:val="22"/>
        </w:rPr>
        <w:t xml:space="preserve"> know which payroll method will be used </w:t>
      </w:r>
      <w:r>
        <w:rPr>
          <w:rFonts w:ascii="Times New Roman" w:hAnsi="Times New Roman" w:cs="Times New Roman"/>
          <w:sz w:val="22"/>
          <w:szCs w:val="22"/>
        </w:rPr>
        <w:t>for reporting purposes</w:t>
      </w:r>
      <w:r w:rsidRPr="00867159">
        <w:rPr>
          <w:rFonts w:ascii="Times New Roman" w:hAnsi="Times New Roman" w:cs="Times New Roman"/>
          <w:sz w:val="22"/>
          <w:szCs w:val="22"/>
        </w:rPr>
        <w:t xml:space="preserve">. </w:t>
      </w:r>
      <w:r>
        <w:rPr>
          <w:rFonts w:ascii="Times New Roman" w:hAnsi="Times New Roman" w:cs="Times New Roman"/>
          <w:sz w:val="22"/>
          <w:szCs w:val="22"/>
        </w:rPr>
        <w:t xml:space="preserve">The actuary </w:t>
      </w:r>
      <w:r w:rsidRPr="00867159">
        <w:rPr>
          <w:rFonts w:ascii="Times New Roman" w:hAnsi="Times New Roman" w:cs="Times New Roman"/>
          <w:sz w:val="22"/>
          <w:szCs w:val="22"/>
        </w:rPr>
        <w:t xml:space="preserve">may not even know for which period the valuation will be used to determine the ARC. Furthermore, </w:t>
      </w:r>
      <w:r>
        <w:rPr>
          <w:rFonts w:ascii="Times New Roman" w:hAnsi="Times New Roman" w:cs="Times New Roman"/>
          <w:sz w:val="22"/>
          <w:szCs w:val="22"/>
        </w:rPr>
        <w:t>the actuary doesn’t</w:t>
      </w:r>
      <w:r w:rsidRPr="00867159">
        <w:rPr>
          <w:rFonts w:ascii="Times New Roman" w:hAnsi="Times New Roman" w:cs="Times New Roman"/>
          <w:sz w:val="22"/>
          <w:szCs w:val="22"/>
        </w:rPr>
        <w:t xml:space="preserve"> know if the client will make adjustments to the ARC in order to use it for the first year of the biennial or triennial period. (GASB 45 is silent on this.) Even if </w:t>
      </w:r>
      <w:r>
        <w:rPr>
          <w:rFonts w:ascii="Times New Roman" w:hAnsi="Times New Roman" w:cs="Times New Roman"/>
          <w:sz w:val="22"/>
          <w:szCs w:val="22"/>
        </w:rPr>
        <w:t>the actuary</w:t>
      </w:r>
      <w:r w:rsidRPr="00867159">
        <w:rPr>
          <w:rFonts w:ascii="Times New Roman" w:hAnsi="Times New Roman" w:cs="Times New Roman"/>
          <w:sz w:val="22"/>
          <w:szCs w:val="22"/>
        </w:rPr>
        <w:t xml:space="preserve"> were to know all of these things, it would be a rare situation that would result in me knowing the appropriate covered payroll number to report.</w:t>
      </w:r>
      <w:r>
        <w:rPr>
          <w:rFonts w:ascii="Times New Roman" w:hAnsi="Times New Roman" w:cs="Times New Roman"/>
          <w:sz w:val="22"/>
          <w:szCs w:val="22"/>
        </w:rPr>
        <w:t xml:space="preserve"> For example, if the employer uses actual payroll, that number would not be known at the time the valuation is done.</w:t>
      </w:r>
    </w:p>
    <w:p w:rsidR="00EB26F9" w:rsidRPr="00867159" w:rsidRDefault="00EB26F9" w:rsidP="00867159">
      <w:pPr>
        <w:pStyle w:val="PlainText"/>
        <w:rPr>
          <w:rFonts w:ascii="Times New Roman" w:hAnsi="Times New Roman" w:cs="Times New Roman"/>
          <w:sz w:val="22"/>
          <w:szCs w:val="22"/>
        </w:rPr>
      </w:pPr>
    </w:p>
    <w:p w:rsidR="00EB26F9" w:rsidRPr="00867159" w:rsidRDefault="00EB26F9" w:rsidP="00867159">
      <w:pPr>
        <w:pStyle w:val="PlainText"/>
        <w:rPr>
          <w:rFonts w:ascii="Times New Roman" w:hAnsi="Times New Roman" w:cs="Times New Roman"/>
          <w:sz w:val="22"/>
          <w:szCs w:val="22"/>
        </w:rPr>
      </w:pPr>
      <w:r w:rsidRPr="00867159">
        <w:rPr>
          <w:rFonts w:ascii="Times New Roman" w:hAnsi="Times New Roman" w:cs="Times New Roman"/>
          <w:sz w:val="22"/>
          <w:szCs w:val="22"/>
        </w:rPr>
        <w:t xml:space="preserve">As a result, we believe the proper approach is to report the ARC components as a dollar amount. It is the client's responsibility to turn this number into a percentage of payroll factor by using the dollar amount of the ARC </w:t>
      </w:r>
      <w:r>
        <w:rPr>
          <w:rFonts w:ascii="Times New Roman" w:hAnsi="Times New Roman" w:cs="Times New Roman"/>
          <w:sz w:val="22"/>
          <w:szCs w:val="22"/>
        </w:rPr>
        <w:t xml:space="preserve">(adjusted, if desired) </w:t>
      </w:r>
      <w:r w:rsidRPr="00867159">
        <w:rPr>
          <w:rFonts w:ascii="Times New Roman" w:hAnsi="Times New Roman" w:cs="Times New Roman"/>
          <w:sz w:val="22"/>
          <w:szCs w:val="22"/>
        </w:rPr>
        <w:t>as a numerator and then calculating the appropriate amount of the denominator based on the payroll determination method elected by the client for the appropriate fiscal year.</w:t>
      </w:r>
    </w:p>
    <w:p w:rsidR="00EB26F9" w:rsidRPr="00867159" w:rsidRDefault="00EB26F9" w:rsidP="00867159">
      <w:pPr>
        <w:pStyle w:val="PlainText"/>
        <w:rPr>
          <w:rFonts w:ascii="Times New Roman" w:hAnsi="Times New Roman" w:cs="Times New Roman"/>
          <w:sz w:val="22"/>
          <w:szCs w:val="22"/>
        </w:rPr>
      </w:pPr>
    </w:p>
    <w:p w:rsidR="00EB26F9" w:rsidRDefault="00EB26F9" w:rsidP="00867159">
      <w:pPr>
        <w:pStyle w:val="PlainText"/>
        <w:rPr>
          <w:rFonts w:ascii="Times New Roman" w:hAnsi="Times New Roman" w:cs="Times New Roman"/>
          <w:sz w:val="22"/>
          <w:szCs w:val="22"/>
        </w:rPr>
      </w:pPr>
      <w:r>
        <w:rPr>
          <w:rFonts w:ascii="Times New Roman" w:hAnsi="Times New Roman" w:cs="Times New Roman"/>
          <w:sz w:val="22"/>
          <w:szCs w:val="22"/>
        </w:rPr>
        <w:t xml:space="preserve">If we have been provided with payroll information, we are </w:t>
      </w:r>
      <w:r w:rsidRPr="00867159">
        <w:rPr>
          <w:rFonts w:ascii="Times New Roman" w:hAnsi="Times New Roman" w:cs="Times New Roman"/>
          <w:sz w:val="22"/>
          <w:szCs w:val="22"/>
        </w:rPr>
        <w:t xml:space="preserve">happy to </w:t>
      </w:r>
      <w:r>
        <w:rPr>
          <w:rFonts w:ascii="Times New Roman" w:hAnsi="Times New Roman" w:cs="Times New Roman"/>
          <w:sz w:val="22"/>
          <w:szCs w:val="22"/>
        </w:rPr>
        <w:t>use that information to help the employer develop an estimate of covered payroll for reporting purposes. However, the validity of the covered payroll remains the employer’s responsibility even if TCS assists the employer in calculating it.</w:t>
      </w:r>
    </w:p>
    <w:p w:rsidR="00EB26F9" w:rsidRDefault="00EB26F9" w:rsidP="00867159">
      <w:pPr>
        <w:pStyle w:val="PlainText"/>
        <w:rPr>
          <w:rFonts w:ascii="Times New Roman" w:hAnsi="Times New Roman" w:cs="Times New Roman"/>
          <w:sz w:val="22"/>
          <w:szCs w:val="22"/>
        </w:rPr>
      </w:pPr>
    </w:p>
    <w:p w:rsidR="00EB26F9" w:rsidRDefault="00EB26F9">
      <w:pPr>
        <w:tabs>
          <w:tab w:val="left" w:pos="-720"/>
        </w:tabs>
        <w:suppressAutoHyphens/>
      </w:pPr>
      <w:r>
        <w:t xml:space="preserve"> </w:t>
      </w:r>
    </w:p>
    <w:p w:rsidR="00EB26F9" w:rsidRDefault="00EB26F9">
      <w:pPr>
        <w:tabs>
          <w:tab w:val="left" w:pos="-720"/>
        </w:tabs>
        <w:suppressAutoHyphens/>
      </w:pPr>
    </w:p>
    <w:p w:rsidR="00EB26F9" w:rsidRDefault="00EB26F9">
      <w:pPr>
        <w:pStyle w:val="Heading2"/>
        <w:jc w:val="center"/>
        <w:rPr>
          <w:rFonts w:ascii="Times New Roman" w:hAnsi="Times New Roman"/>
          <w:i w:val="0"/>
          <w:sz w:val="22"/>
          <w:u w:val="single"/>
        </w:rPr>
      </w:pPr>
      <w:r>
        <w:br w:type="page"/>
      </w:r>
      <w:bookmarkStart w:id="25" w:name="_Toc327518693"/>
      <w:r>
        <w:rPr>
          <w:rFonts w:ascii="Times New Roman" w:hAnsi="Times New Roman"/>
          <w:i w:val="0"/>
          <w:sz w:val="22"/>
          <w:u w:val="single"/>
        </w:rPr>
        <w:t>APPENDIX F:  GLOSSARY OF RETIREE HEALTH VALUATION TERMS</w:t>
      </w:r>
      <w:bookmarkEnd w:id="25"/>
    </w:p>
    <w:p w:rsidR="00EB26F9" w:rsidRDefault="00EB26F9">
      <w:pPr>
        <w:tabs>
          <w:tab w:val="left" w:pos="-720"/>
        </w:tabs>
        <w:suppressAutoHyphens/>
      </w:pPr>
    </w:p>
    <w:p w:rsidR="00EB26F9" w:rsidRDefault="00EB26F9">
      <w:pPr>
        <w:tabs>
          <w:tab w:val="left" w:pos="-720"/>
        </w:tabs>
        <w:suppressAutoHyphens/>
      </w:pPr>
    </w:p>
    <w:p w:rsidR="00EB26F9" w:rsidRDefault="00EB26F9">
      <w:pPr>
        <w:tabs>
          <w:tab w:val="left" w:pos="-720"/>
          <w:tab w:val="left" w:pos="0"/>
        </w:tabs>
        <w:suppressAutoHyphens/>
        <w:ind w:left="720" w:hanging="720"/>
      </w:pPr>
      <w:r>
        <w:t>Note:</w:t>
      </w:r>
      <w:r>
        <w:tab/>
        <w:t xml:space="preserve">The following definitions are intended to help a </w:t>
      </w:r>
      <w:r>
        <w:rPr>
          <w:i/>
        </w:rPr>
        <w:t>non</w:t>
      </w:r>
      <w:r>
        <w:t>-actuary understand concepts related to retiree health valuations.  Therefore, the definitions may not be actuarially accurate.</w:t>
      </w:r>
    </w:p>
    <w:p w:rsidR="00EB26F9" w:rsidRDefault="00EB26F9">
      <w:pPr>
        <w:tabs>
          <w:tab w:val="left" w:pos="-720"/>
        </w:tabs>
        <w:suppressAutoHyphens/>
      </w:pPr>
    </w:p>
    <w:p w:rsidR="00EB26F9" w:rsidRDefault="00EB26F9">
      <w:pPr>
        <w:tabs>
          <w:tab w:val="left" w:pos="-720"/>
          <w:tab w:val="left" w:pos="0"/>
          <w:tab w:val="left" w:pos="720"/>
          <w:tab w:val="left" w:pos="1440"/>
        </w:tabs>
        <w:suppressAutoHyphens/>
        <w:ind w:left="2880" w:hanging="2880"/>
      </w:pPr>
      <w:r>
        <w:rPr>
          <w:u w:val="single"/>
        </w:rPr>
        <w:t>Actuarial Accrued Liability:</w:t>
      </w:r>
      <w:r>
        <w:tab/>
        <w:t>The amount of the actuarial present value of total projected benefits attributable to employees’ past service based on the actuarial cost method used.</w:t>
      </w:r>
    </w:p>
    <w:p w:rsidR="00EB26F9" w:rsidRDefault="00EB26F9">
      <w:pPr>
        <w:tabs>
          <w:tab w:val="left" w:pos="-720"/>
        </w:tabs>
        <w:suppressAutoHyphens/>
      </w:pPr>
    </w:p>
    <w:p w:rsidR="00EB26F9" w:rsidRDefault="00EB26F9">
      <w:pPr>
        <w:tabs>
          <w:tab w:val="left" w:pos="-720"/>
        </w:tabs>
        <w:suppressAutoHyphens/>
      </w:pPr>
      <w:r>
        <w:rPr>
          <w:u w:val="single"/>
        </w:rPr>
        <w:t>Actuarial Cost Method:</w:t>
      </w:r>
      <w:r>
        <w:tab/>
      </w:r>
      <w:r>
        <w:tab/>
        <w:t>A mathematical model for allocating OPEB costs by year of service.</w:t>
      </w:r>
    </w:p>
    <w:p w:rsidR="00EB26F9" w:rsidRDefault="00EB26F9">
      <w:pPr>
        <w:tabs>
          <w:tab w:val="left" w:pos="-720"/>
        </w:tabs>
        <w:suppressAutoHyphens/>
      </w:pPr>
    </w:p>
    <w:p w:rsidR="00EB26F9" w:rsidRDefault="00EB26F9">
      <w:pPr>
        <w:tabs>
          <w:tab w:val="left" w:pos="-720"/>
        </w:tabs>
        <w:suppressAutoHyphens/>
        <w:rPr>
          <w:u w:val="single"/>
        </w:rPr>
      </w:pPr>
      <w:r>
        <w:rPr>
          <w:u w:val="single"/>
        </w:rPr>
        <w:t>Actuarial Present Value of Total</w:t>
      </w:r>
    </w:p>
    <w:p w:rsidR="00EB26F9" w:rsidRDefault="00EB26F9">
      <w:pPr>
        <w:tabs>
          <w:tab w:val="left" w:pos="-720"/>
        </w:tabs>
        <w:suppressAutoHyphens/>
        <w:ind w:left="2880" w:hanging="2880"/>
      </w:pPr>
      <w:r>
        <w:rPr>
          <w:u w:val="single"/>
        </w:rPr>
        <w:t>Projected Benefits</w:t>
      </w:r>
      <w:r>
        <w:t>:</w:t>
      </w:r>
      <w:r>
        <w:tab/>
      </w:r>
      <w:r>
        <w:tab/>
        <w:t>The projected amount of all OPEB benefits to be paid to current and future retirees discounted back to the valuation date.</w:t>
      </w:r>
    </w:p>
    <w:p w:rsidR="00EB26F9" w:rsidRDefault="00EB26F9">
      <w:pPr>
        <w:pStyle w:val="EndnoteText"/>
        <w:tabs>
          <w:tab w:val="left" w:pos="-720"/>
        </w:tabs>
        <w:suppressAutoHyphens/>
      </w:pPr>
    </w:p>
    <w:p w:rsidR="00EB26F9" w:rsidRDefault="00EB26F9">
      <w:pPr>
        <w:pStyle w:val="EndnoteText"/>
        <w:tabs>
          <w:tab w:val="left" w:pos="-720"/>
        </w:tabs>
        <w:suppressAutoHyphens/>
        <w:ind w:left="2880" w:hanging="2880"/>
      </w:pPr>
      <w:r>
        <w:rPr>
          <w:u w:val="single"/>
        </w:rPr>
        <w:t>Actuarial Value of Assets:</w:t>
      </w:r>
      <w:r>
        <w:tab/>
        <w:t>Market-related value of assets which may include an unbiased formula for smoothing cyclical fluctuations in asset values.</w:t>
      </w:r>
    </w:p>
    <w:p w:rsidR="00EB26F9" w:rsidRDefault="00EB26F9">
      <w:pPr>
        <w:pStyle w:val="EndnoteText"/>
        <w:tabs>
          <w:tab w:val="left" w:pos="-720"/>
        </w:tabs>
        <w:suppressAutoHyphens/>
      </w:pPr>
    </w:p>
    <w:p w:rsidR="00EB26F9" w:rsidRDefault="00EB26F9">
      <w:pPr>
        <w:tabs>
          <w:tab w:val="left" w:pos="-720"/>
        </w:tabs>
        <w:suppressAutoHyphens/>
        <w:ind w:left="2880" w:hanging="2880"/>
      </w:pPr>
      <w:r>
        <w:rPr>
          <w:u w:val="single"/>
        </w:rPr>
        <w:t>Annual OPEB Cost</w:t>
      </w:r>
      <w:r>
        <w:t>:</w:t>
      </w:r>
      <w:r>
        <w:tab/>
      </w:r>
      <w:r>
        <w:tab/>
        <w:t>This is the amount employers must recognize as an expense each year. The annual OPEB expense is equal to the Annual Required Contribution plus interest on the Net OPEB obligation minus an adjustment to reflect the amortization of the net OPEB obligation.</w:t>
      </w:r>
    </w:p>
    <w:p w:rsidR="00EB26F9" w:rsidRDefault="00EB26F9">
      <w:pPr>
        <w:tabs>
          <w:tab w:val="left" w:pos="-720"/>
        </w:tabs>
        <w:suppressAutoHyphens/>
      </w:pPr>
    </w:p>
    <w:p w:rsidR="00EB26F9" w:rsidRPr="00532B97" w:rsidRDefault="00EB26F9" w:rsidP="00532B97">
      <w:pPr>
        <w:ind w:left="2880" w:hanging="2880"/>
      </w:pPr>
      <w:r w:rsidRPr="00532B97">
        <w:rPr>
          <w:u w:val="single"/>
        </w:rPr>
        <w:t>Annual Required Contribution:</w:t>
      </w:r>
      <w:r>
        <w:tab/>
      </w:r>
      <w:r w:rsidRPr="00532B97">
        <w:t>The sum of the normal cost and an amount to amortize the unfunded actuarial accrued liability. This is the basis of the annual OPEB cost and net OPEB obligation.</w:t>
      </w:r>
    </w:p>
    <w:p w:rsidR="00EB26F9" w:rsidRPr="00532B97" w:rsidRDefault="00EB26F9" w:rsidP="00532B97"/>
    <w:p w:rsidR="00EB26F9" w:rsidRPr="00532B97" w:rsidRDefault="00EB26F9" w:rsidP="00532B97">
      <w:pPr>
        <w:ind w:left="2880" w:hanging="2880"/>
      </w:pPr>
      <w:r w:rsidRPr="00532B97">
        <w:rPr>
          <w:u w:val="single"/>
        </w:rPr>
        <w:t>Closed Amortization Period</w:t>
      </w:r>
      <w:r>
        <w:rPr>
          <w:u w:val="single"/>
        </w:rPr>
        <w:t>:</w:t>
      </w:r>
      <w:r>
        <w:tab/>
      </w:r>
      <w:r w:rsidRPr="00532B97">
        <w:t>An amortization approach where the original ending date for the amortization period remains the same. This would be similar to a conventional, 30-year mortgage, for example.</w:t>
      </w:r>
    </w:p>
    <w:p w:rsidR="00EB26F9" w:rsidRPr="00532B97" w:rsidRDefault="00EB26F9" w:rsidP="00532B97"/>
    <w:p w:rsidR="00EB26F9" w:rsidRPr="00532B97" w:rsidRDefault="00EB26F9" w:rsidP="00532B97">
      <w:pPr>
        <w:ind w:left="2880" w:hanging="2880"/>
      </w:pPr>
      <w:r w:rsidRPr="00532B97">
        <w:rPr>
          <w:u w:val="single"/>
        </w:rPr>
        <w:t>Discount Rate</w:t>
      </w:r>
      <w:r>
        <w:rPr>
          <w:u w:val="single"/>
        </w:rPr>
        <w:t>:</w:t>
      </w:r>
      <w:r>
        <w:tab/>
      </w:r>
      <w:r>
        <w:tab/>
      </w:r>
      <w:r>
        <w:tab/>
      </w:r>
      <w:r w:rsidRPr="00532B97">
        <w:t>Assumed investment return net of all investment expenses.  Generally, a higher assumed interest rate leads to lower normal costs and actuarial accrued liability.</w:t>
      </w:r>
    </w:p>
    <w:p w:rsidR="00EB26F9" w:rsidRPr="00532B97" w:rsidRDefault="00EB26F9" w:rsidP="00532B97"/>
    <w:p w:rsidR="00EB26F9" w:rsidRDefault="00EB26F9">
      <w:pPr>
        <w:tabs>
          <w:tab w:val="left" w:pos="-720"/>
          <w:tab w:val="left" w:pos="0"/>
          <w:tab w:val="left" w:pos="720"/>
          <w:tab w:val="left" w:pos="1440"/>
        </w:tabs>
        <w:suppressAutoHyphens/>
        <w:ind w:left="2880" w:hanging="2880"/>
      </w:pPr>
      <w:r>
        <w:rPr>
          <w:u w:val="single"/>
        </w:rPr>
        <w:t>Implicit Rate Subsidy:</w:t>
      </w:r>
      <w:r>
        <w:tab/>
      </w:r>
      <w:r>
        <w:tab/>
        <w:t>The estimated amount by which retiree rates are understated in situations where, for rating purposes, retirees are combined with active employees.</w:t>
      </w:r>
    </w:p>
    <w:p w:rsidR="00EB26F9" w:rsidRDefault="00EB26F9">
      <w:pPr>
        <w:tabs>
          <w:tab w:val="left" w:pos="-720"/>
          <w:tab w:val="left" w:pos="0"/>
          <w:tab w:val="left" w:pos="720"/>
          <w:tab w:val="left" w:pos="1440"/>
        </w:tabs>
        <w:suppressAutoHyphens/>
        <w:ind w:left="2880" w:hanging="2880"/>
        <w:rPr>
          <w:u w:val="single"/>
        </w:rPr>
      </w:pPr>
    </w:p>
    <w:p w:rsidR="00EB26F9" w:rsidRDefault="00EB26F9">
      <w:pPr>
        <w:tabs>
          <w:tab w:val="left" w:pos="-720"/>
          <w:tab w:val="left" w:pos="0"/>
          <w:tab w:val="left" w:pos="720"/>
          <w:tab w:val="left" w:pos="1440"/>
        </w:tabs>
        <w:suppressAutoHyphens/>
        <w:ind w:left="2880" w:hanging="2880"/>
      </w:pPr>
      <w:r>
        <w:rPr>
          <w:u w:val="single"/>
        </w:rPr>
        <w:t>Mortality Rate:</w:t>
      </w:r>
      <w:r>
        <w:tab/>
      </w:r>
      <w:r>
        <w:tab/>
      </w:r>
      <w:r>
        <w:tab/>
        <w:t>Assumed proportion of people who die each year.  Mortality rates always vary by age and often by sex.  A mortality table should always be selected that is based on a similar “population” to the one being studied.</w:t>
      </w:r>
    </w:p>
    <w:p w:rsidR="00EB26F9" w:rsidRDefault="00EB26F9">
      <w:pPr>
        <w:tabs>
          <w:tab w:val="left" w:pos="-720"/>
          <w:tab w:val="left" w:pos="0"/>
          <w:tab w:val="left" w:pos="720"/>
          <w:tab w:val="left" w:pos="1440"/>
        </w:tabs>
        <w:suppressAutoHyphens/>
        <w:ind w:left="2160" w:hanging="2160"/>
        <w:rPr>
          <w:u w:val="single"/>
        </w:rPr>
      </w:pPr>
    </w:p>
    <w:p w:rsidR="00EB26F9" w:rsidRDefault="00EB26F9">
      <w:pPr>
        <w:tabs>
          <w:tab w:val="left" w:pos="-720"/>
          <w:tab w:val="left" w:pos="0"/>
          <w:tab w:val="left" w:pos="720"/>
          <w:tab w:val="left" w:pos="1440"/>
        </w:tabs>
        <w:suppressAutoHyphens/>
        <w:ind w:left="2880" w:hanging="2880"/>
      </w:pPr>
      <w:r>
        <w:rPr>
          <w:u w:val="single"/>
        </w:rPr>
        <w:t>Net OPEB Obligation:</w:t>
      </w:r>
      <w:r>
        <w:tab/>
      </w:r>
      <w:r>
        <w:tab/>
        <w:t>The accumulated difference between the annual OPEB cost and amounts contributed to an irrevocable trust exclusively providing retiree OPEB benefits and protected from creditors.</w:t>
      </w:r>
    </w:p>
    <w:p w:rsidR="00EB26F9" w:rsidRDefault="00EB26F9">
      <w:pPr>
        <w:tabs>
          <w:tab w:val="left" w:pos="-720"/>
          <w:tab w:val="left" w:pos="0"/>
          <w:tab w:val="left" w:pos="720"/>
          <w:tab w:val="left" w:pos="1440"/>
        </w:tabs>
        <w:suppressAutoHyphens/>
        <w:ind w:left="2160" w:hanging="2160"/>
        <w:rPr>
          <w:u w:val="single"/>
        </w:rPr>
      </w:pPr>
    </w:p>
    <w:p w:rsidR="00EB26F9" w:rsidRDefault="00EB26F9">
      <w:pPr>
        <w:tabs>
          <w:tab w:val="left" w:pos="-720"/>
          <w:tab w:val="left" w:pos="0"/>
          <w:tab w:val="left" w:pos="720"/>
          <w:tab w:val="left" w:pos="1440"/>
        </w:tabs>
        <w:suppressAutoHyphens/>
        <w:ind w:left="2880" w:hanging="2880"/>
      </w:pPr>
      <w:smartTag w:uri="urn:schemas-microsoft-com:office:smarttags" w:element="City">
        <w:smartTag w:uri="urn:schemas-microsoft-com:office:smarttags" w:element="place">
          <w:r>
            <w:rPr>
              <w:u w:val="single"/>
            </w:rPr>
            <w:t>Normal</w:t>
          </w:r>
        </w:smartTag>
      </w:smartTag>
      <w:r>
        <w:rPr>
          <w:u w:val="single"/>
        </w:rPr>
        <w:t xml:space="preserve"> Cost:</w:t>
      </w:r>
      <w:r>
        <w:tab/>
      </w:r>
      <w:r>
        <w:tab/>
      </w:r>
      <w:r>
        <w:tab/>
        <w:t>The dollar value of the “earned” portion of retiree health benefits if retiree health benefits are to be fully accrued at retirement.</w:t>
      </w:r>
    </w:p>
    <w:p w:rsidR="00EB26F9" w:rsidRDefault="00EB26F9">
      <w:pPr>
        <w:tabs>
          <w:tab w:val="left" w:pos="-720"/>
        </w:tabs>
        <w:suppressAutoHyphens/>
      </w:pPr>
    </w:p>
    <w:p w:rsidR="00EB26F9" w:rsidRDefault="00EB26F9">
      <w:pPr>
        <w:tabs>
          <w:tab w:val="left" w:pos="-720"/>
        </w:tabs>
        <w:suppressAutoHyphens/>
        <w:ind w:left="2880" w:hanging="2880"/>
      </w:pPr>
      <w:r>
        <w:rPr>
          <w:u w:val="single"/>
        </w:rPr>
        <w:t>OPEB Benefits:</w:t>
      </w:r>
      <w:r>
        <w:tab/>
      </w:r>
      <w:r>
        <w:tab/>
      </w:r>
      <w:r>
        <w:tab/>
        <w:t xml:space="preserve">Other </w:t>
      </w:r>
      <w:proofErr w:type="spellStart"/>
      <w:r>
        <w:t>PostEmployment</w:t>
      </w:r>
      <w:proofErr w:type="spellEnd"/>
      <w:r>
        <w:t xml:space="preserve"> Benefits. Generally medical, dental, prescription drug, life, long-term care or other postemployment benefits that are not pension benefits.</w:t>
      </w:r>
    </w:p>
    <w:p w:rsidR="00EB26F9" w:rsidRDefault="00EB26F9">
      <w:pPr>
        <w:tabs>
          <w:tab w:val="left" w:pos="-720"/>
        </w:tabs>
        <w:suppressAutoHyphens/>
      </w:pPr>
    </w:p>
    <w:p w:rsidR="00EB26F9" w:rsidRDefault="00EB26F9">
      <w:pPr>
        <w:tabs>
          <w:tab w:val="left" w:pos="-720"/>
          <w:tab w:val="left" w:pos="0"/>
          <w:tab w:val="left" w:pos="720"/>
          <w:tab w:val="left" w:pos="1440"/>
        </w:tabs>
        <w:suppressAutoHyphens/>
        <w:ind w:left="2880" w:hanging="2880"/>
      </w:pPr>
      <w:r>
        <w:rPr>
          <w:u w:val="single"/>
        </w:rPr>
        <w:t>Open Amortization Period:</w:t>
      </w:r>
      <w:r>
        <w:tab/>
        <w:t>Under an open amortization period, the remaining unamortized balance is subject to a new amortization schedule each valuation. This would be similar, for example, to a homeowner refinancing a mortgage with a new 30-year conventional mortgage every two or three years.</w:t>
      </w:r>
    </w:p>
    <w:p w:rsidR="00EB26F9" w:rsidRDefault="00EB26F9">
      <w:pPr>
        <w:tabs>
          <w:tab w:val="left" w:pos="-720"/>
          <w:tab w:val="left" w:pos="0"/>
          <w:tab w:val="left" w:pos="720"/>
          <w:tab w:val="left" w:pos="1440"/>
        </w:tabs>
        <w:suppressAutoHyphens/>
        <w:ind w:left="2880" w:hanging="2880"/>
        <w:rPr>
          <w:u w:val="single"/>
        </w:rPr>
      </w:pPr>
    </w:p>
    <w:p w:rsidR="00EB26F9" w:rsidRDefault="00EB26F9">
      <w:pPr>
        <w:tabs>
          <w:tab w:val="left" w:pos="-720"/>
          <w:tab w:val="left" w:pos="0"/>
          <w:tab w:val="left" w:pos="720"/>
          <w:tab w:val="left" w:pos="1440"/>
        </w:tabs>
        <w:suppressAutoHyphens/>
        <w:ind w:left="2880" w:hanging="2880"/>
      </w:pPr>
      <w:r>
        <w:rPr>
          <w:u w:val="single"/>
        </w:rPr>
        <w:t>Participation Rate:</w:t>
      </w:r>
      <w:r>
        <w:tab/>
      </w:r>
      <w:r>
        <w:tab/>
        <w:t>The proportion of retirees who elect to receive retiree benefits.  A lower participation rate results in lower normal cost and actuarial accrued liability.  The participation rate often is related to retiree contributions.</w:t>
      </w:r>
    </w:p>
    <w:p w:rsidR="00EB26F9" w:rsidRDefault="00EB26F9">
      <w:pPr>
        <w:pStyle w:val="EndnoteText"/>
        <w:tabs>
          <w:tab w:val="left" w:pos="-720"/>
        </w:tabs>
        <w:suppressAutoHyphens/>
      </w:pPr>
    </w:p>
    <w:p w:rsidR="00EB26F9" w:rsidRDefault="00EB26F9">
      <w:pPr>
        <w:tabs>
          <w:tab w:val="left" w:pos="-720"/>
          <w:tab w:val="left" w:pos="0"/>
          <w:tab w:val="left" w:pos="720"/>
          <w:tab w:val="left" w:pos="1440"/>
        </w:tabs>
        <w:suppressAutoHyphens/>
        <w:ind w:left="2880" w:hanging="2880"/>
      </w:pPr>
      <w:r>
        <w:rPr>
          <w:u w:val="single"/>
        </w:rPr>
        <w:t>Retirement Rate:</w:t>
      </w:r>
      <w:r>
        <w:tab/>
      </w:r>
      <w:r>
        <w:tab/>
        <w:t>The proportion of active employees who retire each year.  Retirement rates are usually based on age and/or length of service.  (Retirement rates can be used in conjunction with vesting rates to reflect both age and length of service).  The more likely employees are to retire early, the higher normal costs and actuarial accrued liability will be.</w:t>
      </w:r>
    </w:p>
    <w:p w:rsidR="00EB26F9" w:rsidRDefault="00EB26F9">
      <w:pPr>
        <w:tabs>
          <w:tab w:val="left" w:pos="-720"/>
        </w:tabs>
        <w:suppressAutoHyphens/>
      </w:pPr>
    </w:p>
    <w:p w:rsidR="00EB26F9" w:rsidRDefault="00EB26F9">
      <w:pPr>
        <w:tabs>
          <w:tab w:val="left" w:pos="-720"/>
          <w:tab w:val="left" w:pos="0"/>
          <w:tab w:val="left" w:pos="720"/>
          <w:tab w:val="left" w:pos="1440"/>
        </w:tabs>
        <w:suppressAutoHyphens/>
        <w:ind w:left="2880" w:hanging="2880"/>
      </w:pPr>
      <w:r>
        <w:rPr>
          <w:u w:val="single"/>
        </w:rPr>
        <w:t>Transition Obligation:</w:t>
      </w:r>
      <w:r>
        <w:tab/>
      </w:r>
      <w:r>
        <w:tab/>
        <w:t>The amount of the unfunded actuarial accrued liability at the time actuarial accrual begins in accordance with an applicable accounting standard.</w:t>
      </w:r>
    </w:p>
    <w:p w:rsidR="00EB26F9" w:rsidRDefault="00EB26F9">
      <w:pPr>
        <w:tabs>
          <w:tab w:val="left" w:pos="-720"/>
        </w:tabs>
        <w:suppressAutoHyphens/>
      </w:pPr>
    </w:p>
    <w:p w:rsidR="00EB26F9" w:rsidRDefault="00EB26F9">
      <w:pPr>
        <w:tabs>
          <w:tab w:val="left" w:pos="-720"/>
          <w:tab w:val="left" w:pos="0"/>
          <w:tab w:val="left" w:pos="720"/>
          <w:tab w:val="left" w:pos="1440"/>
        </w:tabs>
        <w:suppressAutoHyphens/>
        <w:ind w:left="2880" w:hanging="2880"/>
      </w:pPr>
      <w:r>
        <w:rPr>
          <w:u w:val="single"/>
        </w:rPr>
        <w:t>Trend Rate:</w:t>
      </w:r>
      <w:r>
        <w:tab/>
      </w:r>
      <w:r>
        <w:tab/>
      </w:r>
      <w:r>
        <w:tab/>
        <w:t>The rate at which the cost of retiree benefits is expected to increase over time.  The trend rate usually varies by type of benefit (e.g. medical, dental, vision, etc.) and may vary over time.  A higher trend rate results in higher normal costs and actuarial accrued liability.</w:t>
      </w:r>
    </w:p>
    <w:p w:rsidR="00EB26F9" w:rsidRDefault="00EB26F9">
      <w:pPr>
        <w:tabs>
          <w:tab w:val="left" w:pos="-720"/>
        </w:tabs>
        <w:suppressAutoHyphens/>
      </w:pPr>
    </w:p>
    <w:p w:rsidR="00EB26F9" w:rsidRDefault="00EB26F9">
      <w:pPr>
        <w:tabs>
          <w:tab w:val="left" w:pos="-720"/>
          <w:tab w:val="left" w:pos="0"/>
          <w:tab w:val="left" w:pos="720"/>
          <w:tab w:val="left" w:pos="1440"/>
        </w:tabs>
        <w:suppressAutoHyphens/>
        <w:ind w:left="2880" w:hanging="2880"/>
      </w:pPr>
      <w:r>
        <w:rPr>
          <w:u w:val="single"/>
        </w:rPr>
        <w:t>Turnover Rate:</w:t>
      </w:r>
      <w:r>
        <w:tab/>
      </w:r>
      <w:r>
        <w:tab/>
      </w:r>
      <w:r>
        <w:tab/>
        <w:t>The rate at which employees cease employment due to reasons other than death, disability or retirement.  Turnover rates usually vary based on length of service and may vary by other factors.  Higher turnover rates reduce normal costs and actuarial accrued liability.</w:t>
      </w:r>
    </w:p>
    <w:p w:rsidR="00EB26F9" w:rsidRDefault="00EB26F9">
      <w:pPr>
        <w:tabs>
          <w:tab w:val="left" w:pos="-720"/>
        </w:tabs>
        <w:suppressAutoHyphens/>
      </w:pPr>
    </w:p>
    <w:p w:rsidR="00EB26F9" w:rsidRPr="00532B97" w:rsidRDefault="00EB26F9" w:rsidP="00532B97">
      <w:pPr>
        <w:rPr>
          <w:u w:val="single"/>
        </w:rPr>
      </w:pPr>
      <w:r w:rsidRPr="00532B97">
        <w:rPr>
          <w:u w:val="single"/>
        </w:rPr>
        <w:t>Unfunded Actuarial</w:t>
      </w:r>
    </w:p>
    <w:p w:rsidR="00EB26F9" w:rsidRPr="00532B97" w:rsidRDefault="00EB26F9" w:rsidP="00532B97">
      <w:pPr>
        <w:ind w:left="2880" w:hanging="2880"/>
      </w:pPr>
      <w:r w:rsidRPr="00532B97">
        <w:rPr>
          <w:u w:val="single"/>
        </w:rPr>
        <w:t>Accrued Liability</w:t>
      </w:r>
      <w:r>
        <w:t>:</w:t>
      </w:r>
      <w:r>
        <w:tab/>
      </w:r>
      <w:r>
        <w:tab/>
      </w:r>
      <w:r w:rsidRPr="00532B97">
        <w:t>This is the excess of the actuarial accrued liability over assets irrevocably committed to provide retiree health benefits.</w:t>
      </w:r>
    </w:p>
    <w:p w:rsidR="00EB26F9" w:rsidRPr="00532B97" w:rsidRDefault="00EB26F9" w:rsidP="00532B97"/>
    <w:p w:rsidR="00EB26F9" w:rsidRDefault="00EB26F9">
      <w:pPr>
        <w:tabs>
          <w:tab w:val="left" w:pos="-720"/>
          <w:tab w:val="left" w:pos="0"/>
          <w:tab w:val="left" w:pos="720"/>
          <w:tab w:val="left" w:pos="1440"/>
        </w:tabs>
        <w:suppressAutoHyphens/>
        <w:ind w:left="2880" w:hanging="2880"/>
      </w:pPr>
      <w:r>
        <w:rPr>
          <w:u w:val="single"/>
        </w:rPr>
        <w:t>Valuation Date:</w:t>
      </w:r>
      <w:r>
        <w:tab/>
      </w:r>
      <w:r>
        <w:tab/>
      </w:r>
      <w:r>
        <w:tab/>
        <w:t>The date as of which the OPEB obligation is determined. Under GASB 43 and 45, the valuation date does not have to coincide with the statement date.</w:t>
      </w:r>
    </w:p>
    <w:p w:rsidR="00EB26F9" w:rsidRDefault="00EB26F9">
      <w:pPr>
        <w:tabs>
          <w:tab w:val="left" w:pos="-720"/>
          <w:tab w:val="left" w:pos="0"/>
          <w:tab w:val="left" w:pos="720"/>
          <w:tab w:val="left" w:pos="1440"/>
        </w:tabs>
        <w:suppressAutoHyphens/>
        <w:ind w:left="2160" w:hanging="2160"/>
        <w:rPr>
          <w:u w:val="single"/>
        </w:rPr>
      </w:pPr>
    </w:p>
    <w:p w:rsidR="00EB26F9" w:rsidRDefault="00EB26F9">
      <w:pPr>
        <w:tabs>
          <w:tab w:val="left" w:pos="-720"/>
          <w:tab w:val="left" w:pos="0"/>
          <w:tab w:val="left" w:pos="720"/>
          <w:tab w:val="left" w:pos="1440"/>
        </w:tabs>
        <w:suppressAutoHyphens/>
        <w:ind w:left="2880" w:hanging="2880"/>
        <w:sectPr w:rsidR="00EB26F9" w:rsidSect="003A518A">
          <w:endnotePr>
            <w:numFmt w:val="decimal"/>
          </w:endnotePr>
          <w:pgSz w:w="12240" w:h="15840" w:code="1"/>
          <w:pgMar w:top="1440" w:right="720" w:bottom="1440" w:left="1440" w:header="720" w:footer="1008" w:gutter="0"/>
          <w:cols w:space="720"/>
          <w:noEndnote/>
        </w:sectPr>
      </w:pPr>
      <w:r>
        <w:rPr>
          <w:u w:val="single"/>
        </w:rPr>
        <w:t>Vesting Rate:</w:t>
      </w:r>
      <w:r>
        <w:tab/>
      </w:r>
      <w:r>
        <w:tab/>
      </w:r>
      <w:r>
        <w:tab/>
        <w:t>The proportion of retiree benefits earned, based on length of service and, sometimes, age.  (Vesting rates are often set in conjunction with retirement rates.)  More rapid vesting increases normal costs and actuarial accrued liability.</w:t>
      </w:r>
    </w:p>
    <w:p w:rsidR="00EB26F9" w:rsidRDefault="00EB26F9">
      <w:pPr>
        <w:tabs>
          <w:tab w:val="left" w:pos="-720"/>
          <w:tab w:val="left" w:pos="0"/>
          <w:tab w:val="left" w:pos="720"/>
          <w:tab w:val="left" w:pos="1440"/>
        </w:tabs>
        <w:suppressAutoHyphens/>
        <w:ind w:left="2160" w:hanging="2160"/>
        <w:sectPr w:rsidR="00EB26F9">
          <w:endnotePr>
            <w:numFmt w:val="decimal"/>
          </w:endnotePr>
          <w:type w:val="continuous"/>
          <w:pgSz w:w="12240" w:h="15840"/>
          <w:pgMar w:top="1440" w:right="720" w:bottom="1440" w:left="1440" w:header="720" w:footer="1296" w:gutter="0"/>
          <w:cols w:space="720"/>
          <w:noEndnote/>
        </w:sectPr>
      </w:pPr>
    </w:p>
    <w:p w:rsidR="00EB26F9" w:rsidRDefault="00EB26F9">
      <w:pPr>
        <w:tabs>
          <w:tab w:val="left" w:pos="-720"/>
          <w:tab w:val="left" w:pos="0"/>
          <w:tab w:val="left" w:pos="720"/>
          <w:tab w:val="left" w:pos="1440"/>
        </w:tabs>
        <w:suppressAutoHyphens/>
        <w:ind w:left="2160" w:hanging="2160"/>
      </w:pPr>
    </w:p>
    <w:sectPr w:rsidR="00EB26F9" w:rsidSect="00EB26F9">
      <w:endnotePr>
        <w:numFmt w:val="decimal"/>
      </w:endnotePr>
      <w:type w:val="continuous"/>
      <w:pgSz w:w="12240" w:h="15840"/>
      <w:pgMar w:top="1440" w:right="720" w:bottom="1440" w:left="1440" w:header="720" w:footer="129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F3A" w:rsidRDefault="00104F3A">
      <w:pPr>
        <w:spacing w:line="20" w:lineRule="exact"/>
      </w:pPr>
    </w:p>
  </w:endnote>
  <w:endnote w:type="continuationSeparator" w:id="0">
    <w:p w:rsidR="00104F3A" w:rsidRDefault="00104F3A">
      <w:r>
        <w:t xml:space="preserve"> </w:t>
      </w:r>
    </w:p>
  </w:endnote>
  <w:endnote w:type="continuationNotice" w:id="1">
    <w:p w:rsidR="00104F3A" w:rsidRDefault="00104F3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22" w:rsidRDefault="007477A3">
    <w:r>
      <w:rPr>
        <w:noProof/>
        <w:snapToGrid/>
      </w:rPr>
      <w:pict>
        <v:rect id="_x0000_s2049" style="position:absolute;margin-left:106.5pt;margin-top:12pt;width:462.3pt;height:21.25pt;z-index:251655680;mso-position-horizontal-relative:page" o:allowincell="f" filled="f" stroked="f" strokeweight="0">
          <v:textbox style="mso-next-textbox:#_x0000_s2049" inset="0,0,0,0">
            <w:txbxContent>
              <w:p w:rsidR="003E6E22" w:rsidRDefault="003E6E22">
                <w:pPr>
                  <w:tabs>
                    <w:tab w:val="center" w:pos="4608"/>
                    <w:tab w:val="right" w:pos="9216"/>
                  </w:tabs>
                </w:pPr>
                <w:r>
                  <w:tab/>
                </w:r>
                <w:fldSimple w:instr="page \* arabic">
                  <w:r w:rsidR="00CB1FA0">
                    <w:rPr>
                      <w:noProof/>
                    </w:rPr>
                    <w:t>10</w:t>
                  </w:r>
                </w:fldSimple>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F3A" w:rsidRDefault="00104F3A">
      <w:r>
        <w:separator/>
      </w:r>
    </w:p>
  </w:footnote>
  <w:footnote w:type="continuationSeparator" w:id="0">
    <w:p w:rsidR="00104F3A" w:rsidRDefault="00104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22" w:rsidRDefault="003E6E22">
    <w:pPr>
      <w:rPr>
        <w:b/>
        <w:sz w:val="28"/>
      </w:rPr>
    </w:pPr>
    <w:r>
      <w:rPr>
        <w:b/>
        <w:sz w:val="28"/>
      </w:rPr>
      <w:t>Total Compensation Systems, Inc.</w:t>
    </w:r>
  </w:p>
  <w:p w:rsidR="003E6E22" w:rsidRDefault="007477A3">
    <w:pPr>
      <w:rPr>
        <w:b/>
        <w:sz w:val="8"/>
      </w:rPr>
    </w:pPr>
    <w:r w:rsidRPr="007477A3">
      <w:rPr>
        <w:b/>
        <w:noProof/>
        <w:sz w:val="8"/>
      </w:rPr>
      <w:pict>
        <v:line id="_x0000_s2053" style="position:absolute;flip:y;z-index:251659776" from="0,4.45pt" to="511.2pt,4.45pt" strokecolor="#fc0" strokeweight="3.5pt">
          <v:stroke linestyle="thinThick"/>
        </v:line>
      </w:pict>
    </w:r>
    <w:r w:rsidRPr="007477A3">
      <w:rPr>
        <w:b/>
        <w:noProof/>
        <w:sz w:val="8"/>
      </w:rPr>
      <w:pict>
        <v:line id="_x0000_s2052" style="position:absolute;z-index:251658752" from="3.6pt,6.65pt" to="3.6pt,6.65pt" o:allowincell="f"/>
      </w:pict>
    </w:r>
  </w:p>
  <w:p w:rsidR="003E6E22" w:rsidRDefault="003E6E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22" w:rsidRDefault="003E6E22">
    <w:pPr>
      <w:rPr>
        <w:b/>
        <w:sz w:val="28"/>
      </w:rPr>
    </w:pPr>
    <w:r>
      <w:rPr>
        <w:b/>
        <w:sz w:val="28"/>
      </w:rPr>
      <w:t>Total Compensation Systems, Inc.</w:t>
    </w:r>
  </w:p>
  <w:p w:rsidR="003E6E22" w:rsidRDefault="007477A3">
    <w:pPr>
      <w:rPr>
        <w:b/>
        <w:sz w:val="8"/>
      </w:rPr>
    </w:pPr>
    <w:r w:rsidRPr="007477A3">
      <w:rPr>
        <w:b/>
        <w:noProof/>
        <w:sz w:val="8"/>
      </w:rPr>
      <w:pict>
        <v:line id="_x0000_s2051" style="position:absolute;z-index:251657728" from="0,5.2pt" to="511.2pt,5.2pt" strokecolor="#fc0" strokeweight="3.5pt">
          <v:stroke linestyle="thinThick"/>
        </v:line>
      </w:pict>
    </w:r>
    <w:r w:rsidRPr="007477A3">
      <w:rPr>
        <w:b/>
        <w:noProof/>
        <w:sz w:val="8"/>
      </w:rPr>
      <w:pict>
        <v:line id="_x0000_s2050" style="position:absolute;z-index:251656704" from="3.6pt,6.65pt" to="3.6pt,6.65pt" o:allowincell="f"/>
      </w:pict>
    </w:r>
  </w:p>
  <w:p w:rsidR="003E6E22" w:rsidRDefault="003E6E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2B"/>
    <w:multiLevelType w:val="singleLevel"/>
    <w:tmpl w:val="3ED83C5C"/>
    <w:lvl w:ilvl="0">
      <w:start w:val="1"/>
      <w:numFmt w:val="decimal"/>
      <w:lvlText w:val="%1)"/>
      <w:lvlJc w:val="left"/>
      <w:pPr>
        <w:tabs>
          <w:tab w:val="num" w:pos="1080"/>
        </w:tabs>
        <w:ind w:left="1080" w:hanging="360"/>
      </w:pPr>
      <w:rPr>
        <w:rFonts w:hint="default"/>
      </w:rPr>
    </w:lvl>
  </w:abstractNum>
  <w:abstractNum w:abstractNumId="1">
    <w:nsid w:val="0DF527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40364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FD037A0"/>
    <w:multiLevelType w:val="singleLevel"/>
    <w:tmpl w:val="7CF08866"/>
    <w:lvl w:ilvl="0">
      <w:start w:val="1"/>
      <w:numFmt w:val="bullet"/>
      <w:lvlText w:val=""/>
      <w:lvlJc w:val="left"/>
      <w:pPr>
        <w:tabs>
          <w:tab w:val="num" w:pos="1440"/>
        </w:tabs>
        <w:ind w:left="1440" w:hanging="720"/>
      </w:pPr>
      <w:rPr>
        <w:rFonts w:ascii="Wingdings" w:hAnsi="Wingdings" w:hint="default"/>
      </w:rPr>
    </w:lvl>
  </w:abstractNum>
  <w:abstractNum w:abstractNumId="4">
    <w:nsid w:val="35DE52DF"/>
    <w:multiLevelType w:val="hybridMultilevel"/>
    <w:tmpl w:val="2250A3F6"/>
    <w:lvl w:ilvl="0" w:tplc="2EDE47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A762EF2"/>
    <w:multiLevelType w:val="hybridMultilevel"/>
    <w:tmpl w:val="3B52458C"/>
    <w:lvl w:ilvl="0" w:tplc="F27C3C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spelling="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 w:id="1"/>
  </w:endnotePr>
  <w:compat/>
  <w:rsids>
    <w:rsidRoot w:val="0084618C"/>
    <w:rsid w:val="000335DE"/>
    <w:rsid w:val="000D7470"/>
    <w:rsid w:val="000F48FA"/>
    <w:rsid w:val="00102B1A"/>
    <w:rsid w:val="00104F3A"/>
    <w:rsid w:val="001462B0"/>
    <w:rsid w:val="001F3B2C"/>
    <w:rsid w:val="001F7F78"/>
    <w:rsid w:val="00211607"/>
    <w:rsid w:val="00232C95"/>
    <w:rsid w:val="002548E2"/>
    <w:rsid w:val="00321B22"/>
    <w:rsid w:val="0033424C"/>
    <w:rsid w:val="003A518A"/>
    <w:rsid w:val="003B537D"/>
    <w:rsid w:val="003E6E22"/>
    <w:rsid w:val="004129C5"/>
    <w:rsid w:val="00431DE6"/>
    <w:rsid w:val="00437F4F"/>
    <w:rsid w:val="004448BE"/>
    <w:rsid w:val="00474F59"/>
    <w:rsid w:val="004908AF"/>
    <w:rsid w:val="004A1201"/>
    <w:rsid w:val="004E54CC"/>
    <w:rsid w:val="00517BE4"/>
    <w:rsid w:val="00532B97"/>
    <w:rsid w:val="0056214C"/>
    <w:rsid w:val="0058568B"/>
    <w:rsid w:val="005F0F51"/>
    <w:rsid w:val="00650CDC"/>
    <w:rsid w:val="0066634B"/>
    <w:rsid w:val="006763C7"/>
    <w:rsid w:val="006D0C7D"/>
    <w:rsid w:val="006D43B7"/>
    <w:rsid w:val="00736912"/>
    <w:rsid w:val="007477A3"/>
    <w:rsid w:val="00772E45"/>
    <w:rsid w:val="00777D82"/>
    <w:rsid w:val="007A12CC"/>
    <w:rsid w:val="007F6FA0"/>
    <w:rsid w:val="00822FAE"/>
    <w:rsid w:val="008242C3"/>
    <w:rsid w:val="00833F91"/>
    <w:rsid w:val="0084618C"/>
    <w:rsid w:val="00864970"/>
    <w:rsid w:val="00867159"/>
    <w:rsid w:val="0090526B"/>
    <w:rsid w:val="009506FF"/>
    <w:rsid w:val="00994F82"/>
    <w:rsid w:val="009B425D"/>
    <w:rsid w:val="00A2409B"/>
    <w:rsid w:val="00A70E91"/>
    <w:rsid w:val="00AA596A"/>
    <w:rsid w:val="00AD0E88"/>
    <w:rsid w:val="00AE4C87"/>
    <w:rsid w:val="00AF5CE0"/>
    <w:rsid w:val="00B332F8"/>
    <w:rsid w:val="00B75825"/>
    <w:rsid w:val="00BB2D4C"/>
    <w:rsid w:val="00BF5CEB"/>
    <w:rsid w:val="00BF7FA9"/>
    <w:rsid w:val="00C216CC"/>
    <w:rsid w:val="00CB1FA0"/>
    <w:rsid w:val="00CB3102"/>
    <w:rsid w:val="00CB5329"/>
    <w:rsid w:val="00D1008C"/>
    <w:rsid w:val="00DE2E60"/>
    <w:rsid w:val="00EA741B"/>
    <w:rsid w:val="00EB26F9"/>
    <w:rsid w:val="00EC7C8E"/>
    <w:rsid w:val="00F86C17"/>
    <w:rsid w:val="00FA3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970"/>
    <w:pPr>
      <w:widowControl w:val="0"/>
    </w:pPr>
    <w:rPr>
      <w:snapToGrid w:val="0"/>
      <w:spacing w:val="-2"/>
      <w:sz w:val="22"/>
    </w:rPr>
  </w:style>
  <w:style w:type="paragraph" w:styleId="Heading1">
    <w:name w:val="heading 1"/>
    <w:basedOn w:val="Normal"/>
    <w:next w:val="Normal"/>
    <w:qFormat/>
    <w:rsid w:val="00864970"/>
    <w:pPr>
      <w:keepNext/>
      <w:spacing w:before="240" w:after="60"/>
      <w:jc w:val="center"/>
      <w:outlineLvl w:val="0"/>
    </w:pPr>
    <w:rPr>
      <w:rFonts w:ascii="Arial" w:hAnsi="Arial"/>
      <w:b/>
      <w:kern w:val="28"/>
      <w:sz w:val="28"/>
    </w:rPr>
  </w:style>
  <w:style w:type="paragraph" w:styleId="Heading2">
    <w:name w:val="heading 2"/>
    <w:basedOn w:val="Normal"/>
    <w:next w:val="Normal"/>
    <w:qFormat/>
    <w:rsid w:val="00864970"/>
    <w:pPr>
      <w:keepNext/>
      <w:spacing w:before="240" w:after="60"/>
      <w:outlineLvl w:val="1"/>
    </w:pPr>
    <w:rPr>
      <w:rFonts w:ascii="Arial" w:hAnsi="Arial"/>
      <w:b/>
      <w:i/>
      <w:sz w:val="24"/>
    </w:rPr>
  </w:style>
  <w:style w:type="paragraph" w:styleId="Heading3">
    <w:name w:val="heading 3"/>
    <w:basedOn w:val="Normal"/>
    <w:next w:val="Normal"/>
    <w:qFormat/>
    <w:rsid w:val="00864970"/>
    <w:pPr>
      <w:keepNext/>
      <w:spacing w:before="240" w:after="60"/>
      <w:outlineLvl w:val="2"/>
    </w:pPr>
    <w:rPr>
      <w:rFonts w:ascii="Arial" w:hAnsi="Arial"/>
      <w:sz w:val="24"/>
    </w:rPr>
  </w:style>
  <w:style w:type="paragraph" w:styleId="Heading4">
    <w:name w:val="heading 4"/>
    <w:basedOn w:val="Normal"/>
    <w:next w:val="Normal"/>
    <w:qFormat/>
    <w:rsid w:val="00864970"/>
    <w:pPr>
      <w:keepNext/>
      <w:outlineLvl w:val="3"/>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64970"/>
  </w:style>
  <w:style w:type="character" w:styleId="EndnoteReference">
    <w:name w:val="endnote reference"/>
    <w:basedOn w:val="DefaultParagraphFont"/>
    <w:semiHidden/>
    <w:rsid w:val="00864970"/>
    <w:rPr>
      <w:vertAlign w:val="superscript"/>
    </w:rPr>
  </w:style>
  <w:style w:type="paragraph" w:styleId="FootnoteText">
    <w:name w:val="footnote text"/>
    <w:basedOn w:val="Normal"/>
    <w:semiHidden/>
    <w:rsid w:val="00864970"/>
  </w:style>
  <w:style w:type="character" w:styleId="FootnoteReference">
    <w:name w:val="footnote reference"/>
    <w:basedOn w:val="DefaultParagraphFont"/>
    <w:semiHidden/>
    <w:rsid w:val="00864970"/>
    <w:rPr>
      <w:vertAlign w:val="superscript"/>
    </w:rPr>
  </w:style>
  <w:style w:type="character" w:customStyle="1" w:styleId="Bullet">
    <w:name w:val="Bullet"/>
    <w:basedOn w:val="DefaultParagraphFont"/>
    <w:rsid w:val="00864970"/>
  </w:style>
  <w:style w:type="character" w:customStyle="1" w:styleId="Sechead">
    <w:name w:val="Sechead"/>
    <w:basedOn w:val="DefaultParagraphFont"/>
    <w:rsid w:val="00864970"/>
    <w:rPr>
      <w:rFonts w:ascii="Times New Roman" w:hAnsi="Times New Roman"/>
      <w:sz w:val="18"/>
      <w:u w:val="single"/>
    </w:rPr>
  </w:style>
  <w:style w:type="paragraph" w:customStyle="1" w:styleId="Topper">
    <w:name w:val="Topper"/>
    <w:rsid w:val="00864970"/>
    <w:pPr>
      <w:widowControl w:val="0"/>
      <w:tabs>
        <w:tab w:val="left" w:pos="-720"/>
      </w:tabs>
      <w:suppressAutoHyphens/>
      <w:jc w:val="both"/>
    </w:pPr>
    <w:rPr>
      <w:snapToGrid w:val="0"/>
      <w:spacing w:val="-2"/>
      <w:sz w:val="17"/>
    </w:rPr>
  </w:style>
  <w:style w:type="paragraph" w:customStyle="1" w:styleId="MathComput">
    <w:name w:val="Math Comput"/>
    <w:rsid w:val="00864970"/>
    <w:pPr>
      <w:widowControl w:val="0"/>
      <w:tabs>
        <w:tab w:val="left" w:pos="-720"/>
      </w:tabs>
      <w:suppressAutoHyphens/>
      <w:spacing w:line="360" w:lineRule="exact"/>
    </w:pPr>
    <w:rPr>
      <w:rFonts w:ascii="Courier New" w:hAnsi="Courier New"/>
      <w:snapToGrid w:val="0"/>
      <w:sz w:val="24"/>
    </w:rPr>
  </w:style>
  <w:style w:type="character" w:customStyle="1" w:styleId="ReportName">
    <w:name w:val="Report Name"/>
    <w:basedOn w:val="DefaultParagraphFont"/>
    <w:rsid w:val="00864970"/>
    <w:rPr>
      <w:rFonts w:ascii="Times New Roman" w:hAnsi="Times New Roman"/>
      <w:b/>
      <w:sz w:val="21"/>
    </w:rPr>
  </w:style>
  <w:style w:type="character" w:customStyle="1" w:styleId="TitlePage">
    <w:name w:val="Title Page"/>
    <w:basedOn w:val="DefaultParagraphFont"/>
    <w:rsid w:val="00864970"/>
    <w:rPr>
      <w:rFonts w:ascii="Times New Roman" w:hAnsi="Times New Roman"/>
      <w:b/>
      <w:sz w:val="24"/>
    </w:rPr>
  </w:style>
  <w:style w:type="character" w:customStyle="1" w:styleId="Contents">
    <w:name w:val="Contents"/>
    <w:basedOn w:val="DefaultParagraphFont"/>
    <w:rsid w:val="00864970"/>
    <w:rPr>
      <w:rFonts w:ascii="Times New Roman" w:hAnsi="Times New Roman"/>
      <w:noProof w:val="0"/>
      <w:sz w:val="18"/>
      <w:lang w:val="en-US"/>
    </w:rPr>
  </w:style>
  <w:style w:type="character" w:customStyle="1" w:styleId="ContTitle">
    <w:name w:val="Cont. Title"/>
    <w:basedOn w:val="DefaultParagraphFont"/>
    <w:rsid w:val="00864970"/>
    <w:rPr>
      <w:rFonts w:ascii="Times New Roman" w:hAnsi="Times New Roman"/>
      <w:b/>
      <w:sz w:val="21"/>
    </w:rPr>
  </w:style>
  <w:style w:type="character" w:customStyle="1" w:styleId="ToCLev3">
    <w:name w:val="ToCLev3"/>
    <w:basedOn w:val="DefaultParagraphFont"/>
    <w:rsid w:val="00864970"/>
    <w:rPr>
      <w:rFonts w:ascii="Times New Roman" w:hAnsi="Times New Roman"/>
      <w:sz w:val="22"/>
    </w:rPr>
  </w:style>
  <w:style w:type="character" w:customStyle="1" w:styleId="TablMarg">
    <w:name w:val="TablMarg"/>
    <w:basedOn w:val="DefaultParagraphFont"/>
    <w:rsid w:val="00864970"/>
    <w:rPr>
      <w:rFonts w:ascii="Courier New" w:hAnsi="Courier New"/>
      <w:noProof w:val="0"/>
      <w:sz w:val="24"/>
      <w:lang w:val="en-US"/>
    </w:rPr>
  </w:style>
  <w:style w:type="character" w:customStyle="1" w:styleId="ToCLev1">
    <w:name w:val="ToCLev1"/>
    <w:basedOn w:val="DefaultParagraphFont"/>
    <w:rsid w:val="00864970"/>
    <w:rPr>
      <w:rFonts w:ascii="Times New Roman" w:hAnsi="Times New Roman"/>
      <w:b/>
      <w:sz w:val="28"/>
    </w:rPr>
  </w:style>
  <w:style w:type="character" w:customStyle="1" w:styleId="ToCLev2">
    <w:name w:val="ToCLev2"/>
    <w:basedOn w:val="DefaultParagraphFont"/>
    <w:rsid w:val="00864970"/>
    <w:rPr>
      <w:rFonts w:ascii="Times New Roman" w:hAnsi="Times New Roman"/>
    </w:rPr>
  </w:style>
  <w:style w:type="character" w:customStyle="1" w:styleId="SmlCapLtrTit">
    <w:name w:val="SmlCapLtrTit"/>
    <w:basedOn w:val="DefaultParagraphFont"/>
    <w:rsid w:val="00864970"/>
    <w:rPr>
      <w:sz w:val="24"/>
      <w:u w:val="single"/>
    </w:rPr>
  </w:style>
  <w:style w:type="character" w:customStyle="1" w:styleId="SmLtrMarg">
    <w:name w:val="SmLtrMarg"/>
    <w:basedOn w:val="DefaultParagraphFont"/>
    <w:rsid w:val="00864970"/>
    <w:rPr>
      <w:rFonts w:ascii="Courier New" w:hAnsi="Courier New"/>
      <w:noProof w:val="0"/>
      <w:sz w:val="24"/>
      <w:lang w:val="en-US"/>
    </w:rPr>
  </w:style>
  <w:style w:type="character" w:customStyle="1" w:styleId="ToCLev4">
    <w:name w:val="ToCLev4"/>
    <w:basedOn w:val="DefaultParagraphFont"/>
    <w:rsid w:val="00864970"/>
    <w:rPr>
      <w:rFonts w:ascii="Times New Roman" w:hAnsi="Times New Roman"/>
      <w:sz w:val="22"/>
    </w:rPr>
  </w:style>
  <w:style w:type="character" w:customStyle="1" w:styleId="ToCLev5">
    <w:name w:val="ToCLev5"/>
    <w:basedOn w:val="DefaultParagraphFont"/>
    <w:rsid w:val="00864970"/>
    <w:rPr>
      <w:rFonts w:ascii="Times New Roman" w:hAnsi="Times New Roman"/>
      <w:i/>
      <w:sz w:val="22"/>
    </w:rPr>
  </w:style>
  <w:style w:type="paragraph" w:customStyle="1" w:styleId="LineHgt">
    <w:name w:val="LineHgt"/>
    <w:rsid w:val="00864970"/>
    <w:pPr>
      <w:widowControl w:val="0"/>
      <w:tabs>
        <w:tab w:val="left" w:pos="-720"/>
      </w:tabs>
      <w:suppressAutoHyphens/>
      <w:spacing w:line="360" w:lineRule="exact"/>
    </w:pPr>
    <w:rPr>
      <w:rFonts w:ascii="Courier New" w:hAnsi="Courier New"/>
      <w:snapToGrid w:val="0"/>
      <w:sz w:val="24"/>
    </w:rPr>
  </w:style>
  <w:style w:type="character" w:customStyle="1" w:styleId="ToCLev6">
    <w:name w:val="ToCLev6"/>
    <w:basedOn w:val="DefaultParagraphFont"/>
    <w:rsid w:val="00864970"/>
    <w:rPr>
      <w:rFonts w:ascii="Times New Roman" w:hAnsi="Times New Roman"/>
      <w:sz w:val="22"/>
      <w:u w:val="single"/>
    </w:rPr>
  </w:style>
  <w:style w:type="character" w:customStyle="1" w:styleId="1stQuoteMa">
    <w:name w:val="1st Quote Ma"/>
    <w:basedOn w:val="DefaultParagraphFont"/>
    <w:rsid w:val="00864970"/>
  </w:style>
  <w:style w:type="character" w:customStyle="1" w:styleId="2ndquotema">
    <w:name w:val="2nd quote ma"/>
    <w:basedOn w:val="DefaultParagraphFont"/>
    <w:rsid w:val="00864970"/>
  </w:style>
  <w:style w:type="character" w:customStyle="1" w:styleId="Document8">
    <w:name w:val="Document 8"/>
    <w:basedOn w:val="DefaultParagraphFont"/>
    <w:rsid w:val="00864970"/>
  </w:style>
  <w:style w:type="character" w:customStyle="1" w:styleId="Document4">
    <w:name w:val="Document 4"/>
    <w:basedOn w:val="DefaultParagraphFont"/>
    <w:rsid w:val="00864970"/>
    <w:rPr>
      <w:b/>
      <w:i/>
      <w:sz w:val="24"/>
    </w:rPr>
  </w:style>
  <w:style w:type="character" w:customStyle="1" w:styleId="Document6">
    <w:name w:val="Document 6"/>
    <w:basedOn w:val="DefaultParagraphFont"/>
    <w:rsid w:val="00864970"/>
  </w:style>
  <w:style w:type="character" w:customStyle="1" w:styleId="Document5">
    <w:name w:val="Document 5"/>
    <w:basedOn w:val="DefaultParagraphFont"/>
    <w:rsid w:val="00864970"/>
  </w:style>
  <w:style w:type="character" w:customStyle="1" w:styleId="Document2">
    <w:name w:val="Document 2"/>
    <w:basedOn w:val="DefaultParagraphFont"/>
    <w:rsid w:val="00864970"/>
    <w:rPr>
      <w:rFonts w:ascii="Courier New" w:hAnsi="Courier New"/>
      <w:noProof w:val="0"/>
      <w:sz w:val="24"/>
      <w:lang w:val="en-US"/>
    </w:rPr>
  </w:style>
  <w:style w:type="character" w:customStyle="1" w:styleId="Document7">
    <w:name w:val="Document 7"/>
    <w:basedOn w:val="DefaultParagraphFont"/>
    <w:rsid w:val="00864970"/>
  </w:style>
  <w:style w:type="character" w:customStyle="1" w:styleId="Bibliogrphy">
    <w:name w:val="Bibliogrphy"/>
    <w:basedOn w:val="DefaultParagraphFont"/>
    <w:rsid w:val="00864970"/>
  </w:style>
  <w:style w:type="character" w:customStyle="1" w:styleId="RightPar1">
    <w:name w:val="Right Par 1"/>
    <w:basedOn w:val="DefaultParagraphFont"/>
    <w:rsid w:val="00864970"/>
  </w:style>
  <w:style w:type="character" w:customStyle="1" w:styleId="RightPar2">
    <w:name w:val="Right Par 2"/>
    <w:basedOn w:val="DefaultParagraphFont"/>
    <w:rsid w:val="00864970"/>
  </w:style>
  <w:style w:type="character" w:customStyle="1" w:styleId="Document3">
    <w:name w:val="Document 3"/>
    <w:basedOn w:val="DefaultParagraphFont"/>
    <w:rsid w:val="00864970"/>
    <w:rPr>
      <w:rFonts w:ascii="Courier New" w:hAnsi="Courier New"/>
      <w:noProof w:val="0"/>
      <w:sz w:val="24"/>
      <w:lang w:val="en-US"/>
    </w:rPr>
  </w:style>
  <w:style w:type="character" w:customStyle="1" w:styleId="RightPar3">
    <w:name w:val="Right Par 3"/>
    <w:basedOn w:val="DefaultParagraphFont"/>
    <w:rsid w:val="00864970"/>
  </w:style>
  <w:style w:type="character" w:customStyle="1" w:styleId="RightPar4">
    <w:name w:val="Right Par 4"/>
    <w:basedOn w:val="DefaultParagraphFont"/>
    <w:rsid w:val="00864970"/>
  </w:style>
  <w:style w:type="character" w:customStyle="1" w:styleId="RightPar5">
    <w:name w:val="Right Par 5"/>
    <w:basedOn w:val="DefaultParagraphFont"/>
    <w:rsid w:val="00864970"/>
  </w:style>
  <w:style w:type="character" w:customStyle="1" w:styleId="RightPar6">
    <w:name w:val="Right Par 6"/>
    <w:basedOn w:val="DefaultParagraphFont"/>
    <w:rsid w:val="00864970"/>
  </w:style>
  <w:style w:type="character" w:customStyle="1" w:styleId="RightPar7">
    <w:name w:val="Right Par 7"/>
    <w:basedOn w:val="DefaultParagraphFont"/>
    <w:rsid w:val="00864970"/>
  </w:style>
  <w:style w:type="character" w:customStyle="1" w:styleId="RightPar8">
    <w:name w:val="Right Par 8"/>
    <w:basedOn w:val="DefaultParagraphFont"/>
    <w:rsid w:val="00864970"/>
  </w:style>
  <w:style w:type="paragraph" w:customStyle="1" w:styleId="Document1">
    <w:name w:val="Document 1"/>
    <w:rsid w:val="00864970"/>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rsid w:val="00864970"/>
  </w:style>
  <w:style w:type="character" w:customStyle="1" w:styleId="TechInit">
    <w:name w:val="Tech Init"/>
    <w:basedOn w:val="DefaultParagraphFont"/>
    <w:rsid w:val="00864970"/>
    <w:rPr>
      <w:rFonts w:ascii="Courier New" w:hAnsi="Courier New"/>
      <w:noProof w:val="0"/>
      <w:sz w:val="24"/>
      <w:lang w:val="en-US"/>
    </w:rPr>
  </w:style>
  <w:style w:type="character" w:customStyle="1" w:styleId="Technical5">
    <w:name w:val="Technical 5"/>
    <w:basedOn w:val="DefaultParagraphFont"/>
    <w:rsid w:val="00864970"/>
  </w:style>
  <w:style w:type="character" w:customStyle="1" w:styleId="Technical6">
    <w:name w:val="Technical 6"/>
    <w:basedOn w:val="DefaultParagraphFont"/>
    <w:rsid w:val="00864970"/>
  </w:style>
  <w:style w:type="character" w:customStyle="1" w:styleId="Technical2">
    <w:name w:val="Technical 2"/>
    <w:basedOn w:val="DefaultParagraphFont"/>
    <w:rsid w:val="00864970"/>
    <w:rPr>
      <w:rFonts w:ascii="Courier New" w:hAnsi="Courier New"/>
      <w:noProof w:val="0"/>
      <w:sz w:val="24"/>
      <w:lang w:val="en-US"/>
    </w:rPr>
  </w:style>
  <w:style w:type="character" w:customStyle="1" w:styleId="Technical3">
    <w:name w:val="Technical 3"/>
    <w:basedOn w:val="DefaultParagraphFont"/>
    <w:rsid w:val="00864970"/>
    <w:rPr>
      <w:rFonts w:ascii="Courier New" w:hAnsi="Courier New"/>
      <w:noProof w:val="0"/>
      <w:sz w:val="24"/>
      <w:lang w:val="en-US"/>
    </w:rPr>
  </w:style>
  <w:style w:type="character" w:customStyle="1" w:styleId="Technical4">
    <w:name w:val="Technical 4"/>
    <w:basedOn w:val="DefaultParagraphFont"/>
    <w:rsid w:val="00864970"/>
  </w:style>
  <w:style w:type="character" w:customStyle="1" w:styleId="Technical1">
    <w:name w:val="Technical 1"/>
    <w:basedOn w:val="DefaultParagraphFont"/>
    <w:rsid w:val="00864970"/>
    <w:rPr>
      <w:rFonts w:ascii="Courier New" w:hAnsi="Courier New"/>
      <w:noProof w:val="0"/>
      <w:sz w:val="24"/>
      <w:lang w:val="en-US"/>
    </w:rPr>
  </w:style>
  <w:style w:type="character" w:customStyle="1" w:styleId="Technical7">
    <w:name w:val="Technical 7"/>
    <w:basedOn w:val="DefaultParagraphFont"/>
    <w:rsid w:val="00864970"/>
  </w:style>
  <w:style w:type="character" w:customStyle="1" w:styleId="Technical8">
    <w:name w:val="Technical 8"/>
    <w:basedOn w:val="DefaultParagraphFont"/>
    <w:rsid w:val="00864970"/>
  </w:style>
  <w:style w:type="paragraph" w:styleId="TOC1">
    <w:name w:val="toc 1"/>
    <w:basedOn w:val="Normal"/>
    <w:next w:val="Normal"/>
    <w:autoRedefine/>
    <w:uiPriority w:val="39"/>
    <w:rsid w:val="00864970"/>
    <w:pPr>
      <w:spacing w:before="120" w:after="120"/>
    </w:pPr>
    <w:rPr>
      <w:b/>
      <w:caps/>
      <w:sz w:val="24"/>
    </w:rPr>
  </w:style>
  <w:style w:type="paragraph" w:styleId="TOC2">
    <w:name w:val="toc 2"/>
    <w:aliases w:val="Heading2"/>
    <w:basedOn w:val="Normal"/>
    <w:next w:val="Normal"/>
    <w:autoRedefine/>
    <w:uiPriority w:val="39"/>
    <w:rsid w:val="00864970"/>
    <w:pPr>
      <w:ind w:left="220"/>
    </w:pPr>
    <w:rPr>
      <w:smallCaps/>
      <w:sz w:val="20"/>
    </w:rPr>
  </w:style>
  <w:style w:type="paragraph" w:styleId="TOC3">
    <w:name w:val="toc 3"/>
    <w:basedOn w:val="Normal"/>
    <w:next w:val="Normal"/>
    <w:autoRedefine/>
    <w:uiPriority w:val="39"/>
    <w:rsid w:val="00864970"/>
    <w:pPr>
      <w:ind w:left="440"/>
    </w:pPr>
    <w:rPr>
      <w:i/>
      <w:sz w:val="20"/>
    </w:rPr>
  </w:style>
  <w:style w:type="paragraph" w:styleId="TOC4">
    <w:name w:val="toc 4"/>
    <w:basedOn w:val="Normal"/>
    <w:next w:val="Normal"/>
    <w:autoRedefine/>
    <w:semiHidden/>
    <w:rsid w:val="00864970"/>
    <w:pPr>
      <w:ind w:left="660"/>
    </w:pPr>
    <w:rPr>
      <w:sz w:val="18"/>
    </w:rPr>
  </w:style>
  <w:style w:type="paragraph" w:styleId="TOC5">
    <w:name w:val="toc 5"/>
    <w:basedOn w:val="Normal"/>
    <w:next w:val="Normal"/>
    <w:autoRedefine/>
    <w:semiHidden/>
    <w:rsid w:val="00864970"/>
    <w:pPr>
      <w:ind w:left="880"/>
    </w:pPr>
    <w:rPr>
      <w:sz w:val="18"/>
    </w:rPr>
  </w:style>
  <w:style w:type="paragraph" w:styleId="TOC6">
    <w:name w:val="toc 6"/>
    <w:basedOn w:val="Normal"/>
    <w:next w:val="Normal"/>
    <w:autoRedefine/>
    <w:semiHidden/>
    <w:rsid w:val="00864970"/>
    <w:pPr>
      <w:ind w:left="1100"/>
    </w:pPr>
    <w:rPr>
      <w:sz w:val="18"/>
    </w:rPr>
  </w:style>
  <w:style w:type="paragraph" w:styleId="TOC7">
    <w:name w:val="toc 7"/>
    <w:basedOn w:val="Normal"/>
    <w:next w:val="Normal"/>
    <w:autoRedefine/>
    <w:semiHidden/>
    <w:rsid w:val="00864970"/>
    <w:pPr>
      <w:ind w:left="1320"/>
    </w:pPr>
    <w:rPr>
      <w:sz w:val="18"/>
    </w:rPr>
  </w:style>
  <w:style w:type="paragraph" w:styleId="TOC8">
    <w:name w:val="toc 8"/>
    <w:basedOn w:val="Normal"/>
    <w:next w:val="Normal"/>
    <w:autoRedefine/>
    <w:semiHidden/>
    <w:rsid w:val="00864970"/>
    <w:pPr>
      <w:ind w:left="1540"/>
    </w:pPr>
    <w:rPr>
      <w:sz w:val="18"/>
    </w:rPr>
  </w:style>
  <w:style w:type="paragraph" w:styleId="TOC9">
    <w:name w:val="toc 9"/>
    <w:basedOn w:val="Normal"/>
    <w:next w:val="Normal"/>
    <w:autoRedefine/>
    <w:semiHidden/>
    <w:rsid w:val="00864970"/>
    <w:pPr>
      <w:ind w:left="1760"/>
    </w:pPr>
    <w:rPr>
      <w:sz w:val="18"/>
    </w:rPr>
  </w:style>
  <w:style w:type="paragraph" w:styleId="Index1">
    <w:name w:val="index 1"/>
    <w:basedOn w:val="Normal"/>
    <w:next w:val="Normal"/>
    <w:autoRedefine/>
    <w:semiHidden/>
    <w:rsid w:val="00864970"/>
    <w:pPr>
      <w:tabs>
        <w:tab w:val="right" w:leader="dot" w:pos="9360"/>
      </w:tabs>
      <w:suppressAutoHyphens/>
      <w:ind w:left="1440" w:right="720" w:hanging="1440"/>
    </w:pPr>
  </w:style>
  <w:style w:type="paragraph" w:styleId="Index2">
    <w:name w:val="index 2"/>
    <w:basedOn w:val="Normal"/>
    <w:next w:val="Normal"/>
    <w:autoRedefine/>
    <w:semiHidden/>
    <w:rsid w:val="00864970"/>
    <w:pPr>
      <w:tabs>
        <w:tab w:val="right" w:leader="dot" w:pos="9360"/>
      </w:tabs>
      <w:suppressAutoHyphens/>
      <w:ind w:left="1440" w:right="720" w:hanging="720"/>
    </w:pPr>
  </w:style>
  <w:style w:type="paragraph" w:styleId="TOAHeading">
    <w:name w:val="toa heading"/>
    <w:basedOn w:val="Normal"/>
    <w:next w:val="Normal"/>
    <w:semiHidden/>
    <w:rsid w:val="00864970"/>
    <w:pPr>
      <w:tabs>
        <w:tab w:val="right" w:pos="9360"/>
      </w:tabs>
      <w:suppressAutoHyphens/>
    </w:pPr>
  </w:style>
  <w:style w:type="paragraph" w:styleId="Caption">
    <w:name w:val="caption"/>
    <w:basedOn w:val="Normal"/>
    <w:next w:val="Normal"/>
    <w:qFormat/>
    <w:rsid w:val="00864970"/>
  </w:style>
  <w:style w:type="character" w:customStyle="1" w:styleId="EquationCaption">
    <w:name w:val="_Equation Caption"/>
    <w:rsid w:val="00864970"/>
  </w:style>
  <w:style w:type="character" w:styleId="Hyperlink">
    <w:name w:val="Hyperlink"/>
    <w:basedOn w:val="DefaultParagraphFont"/>
    <w:uiPriority w:val="99"/>
    <w:rsid w:val="00864970"/>
    <w:rPr>
      <w:color w:val="0000FF"/>
      <w:u w:val="single"/>
    </w:rPr>
  </w:style>
  <w:style w:type="character" w:styleId="FollowedHyperlink">
    <w:name w:val="FollowedHyperlink"/>
    <w:basedOn w:val="DefaultParagraphFont"/>
    <w:rsid w:val="00864970"/>
    <w:rPr>
      <w:color w:val="800080"/>
      <w:u w:val="single"/>
    </w:rPr>
  </w:style>
  <w:style w:type="paragraph" w:styleId="DocumentMap">
    <w:name w:val="Document Map"/>
    <w:basedOn w:val="Normal"/>
    <w:semiHidden/>
    <w:rsid w:val="00864970"/>
    <w:pPr>
      <w:shd w:val="clear" w:color="auto" w:fill="000080"/>
    </w:pPr>
    <w:rPr>
      <w:rFonts w:ascii="Tahoma" w:hAnsi="Tahoma"/>
    </w:rPr>
  </w:style>
  <w:style w:type="paragraph" w:styleId="Header">
    <w:name w:val="header"/>
    <w:basedOn w:val="Normal"/>
    <w:rsid w:val="00864970"/>
    <w:pPr>
      <w:tabs>
        <w:tab w:val="center" w:pos="4320"/>
        <w:tab w:val="right" w:pos="8640"/>
      </w:tabs>
    </w:pPr>
  </w:style>
  <w:style w:type="paragraph" w:styleId="Footer">
    <w:name w:val="footer"/>
    <w:basedOn w:val="Normal"/>
    <w:rsid w:val="00864970"/>
    <w:pPr>
      <w:tabs>
        <w:tab w:val="center" w:pos="4320"/>
        <w:tab w:val="right" w:pos="8640"/>
      </w:tabs>
    </w:pPr>
  </w:style>
  <w:style w:type="paragraph" w:styleId="BodyTextIndent">
    <w:name w:val="Body Text Indent"/>
    <w:basedOn w:val="Normal"/>
    <w:rsid w:val="00864970"/>
    <w:pPr>
      <w:tabs>
        <w:tab w:val="left" w:pos="-720"/>
      </w:tabs>
      <w:suppressAutoHyphens/>
      <w:ind w:left="2160"/>
    </w:pPr>
  </w:style>
  <w:style w:type="paragraph" w:styleId="PlainText">
    <w:name w:val="Plain Text"/>
    <w:basedOn w:val="Normal"/>
    <w:rsid w:val="00867159"/>
    <w:pPr>
      <w:widowControl/>
    </w:pPr>
    <w:rPr>
      <w:rFonts w:ascii="Courier New" w:hAnsi="Courier New" w:cs="Courier New"/>
      <w:snapToGrid/>
      <w:spacing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7139</Words>
  <Characters>40698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«FullName»</vt:lpstr>
    </vt:vector>
  </TitlesOfParts>
  <Company>Compaq</Company>
  <LinksUpToDate>false</LinksUpToDate>
  <CharactersWithSpaces>47742</CharactersWithSpaces>
  <SharedDoc>false</SharedDoc>
  <HLinks>
    <vt:vector size="156" baseType="variant">
      <vt:variant>
        <vt:i4>1114163</vt:i4>
      </vt:variant>
      <vt:variant>
        <vt:i4>152</vt:i4>
      </vt:variant>
      <vt:variant>
        <vt:i4>0</vt:i4>
      </vt:variant>
      <vt:variant>
        <vt:i4>5</vt:i4>
      </vt:variant>
      <vt:variant>
        <vt:lpwstr/>
      </vt:variant>
      <vt:variant>
        <vt:lpwstr>_Toc327518693</vt:lpwstr>
      </vt:variant>
      <vt:variant>
        <vt:i4>1114163</vt:i4>
      </vt:variant>
      <vt:variant>
        <vt:i4>146</vt:i4>
      </vt:variant>
      <vt:variant>
        <vt:i4>0</vt:i4>
      </vt:variant>
      <vt:variant>
        <vt:i4>5</vt:i4>
      </vt:variant>
      <vt:variant>
        <vt:lpwstr/>
      </vt:variant>
      <vt:variant>
        <vt:lpwstr>_Toc327518692</vt:lpwstr>
      </vt:variant>
      <vt:variant>
        <vt:i4>1114163</vt:i4>
      </vt:variant>
      <vt:variant>
        <vt:i4>140</vt:i4>
      </vt:variant>
      <vt:variant>
        <vt:i4>0</vt:i4>
      </vt:variant>
      <vt:variant>
        <vt:i4>5</vt:i4>
      </vt:variant>
      <vt:variant>
        <vt:lpwstr/>
      </vt:variant>
      <vt:variant>
        <vt:lpwstr>_Toc327518691</vt:lpwstr>
      </vt:variant>
      <vt:variant>
        <vt:i4>1114163</vt:i4>
      </vt:variant>
      <vt:variant>
        <vt:i4>134</vt:i4>
      </vt:variant>
      <vt:variant>
        <vt:i4>0</vt:i4>
      </vt:variant>
      <vt:variant>
        <vt:i4>5</vt:i4>
      </vt:variant>
      <vt:variant>
        <vt:lpwstr/>
      </vt:variant>
      <vt:variant>
        <vt:lpwstr>_Toc327518690</vt:lpwstr>
      </vt:variant>
      <vt:variant>
        <vt:i4>1048627</vt:i4>
      </vt:variant>
      <vt:variant>
        <vt:i4>128</vt:i4>
      </vt:variant>
      <vt:variant>
        <vt:i4>0</vt:i4>
      </vt:variant>
      <vt:variant>
        <vt:i4>5</vt:i4>
      </vt:variant>
      <vt:variant>
        <vt:lpwstr/>
      </vt:variant>
      <vt:variant>
        <vt:lpwstr>_Toc327518689</vt:lpwstr>
      </vt:variant>
      <vt:variant>
        <vt:i4>1048627</vt:i4>
      </vt:variant>
      <vt:variant>
        <vt:i4>122</vt:i4>
      </vt:variant>
      <vt:variant>
        <vt:i4>0</vt:i4>
      </vt:variant>
      <vt:variant>
        <vt:i4>5</vt:i4>
      </vt:variant>
      <vt:variant>
        <vt:lpwstr/>
      </vt:variant>
      <vt:variant>
        <vt:lpwstr>_Toc327518688</vt:lpwstr>
      </vt:variant>
      <vt:variant>
        <vt:i4>1048627</vt:i4>
      </vt:variant>
      <vt:variant>
        <vt:i4>116</vt:i4>
      </vt:variant>
      <vt:variant>
        <vt:i4>0</vt:i4>
      </vt:variant>
      <vt:variant>
        <vt:i4>5</vt:i4>
      </vt:variant>
      <vt:variant>
        <vt:lpwstr/>
      </vt:variant>
      <vt:variant>
        <vt:lpwstr>_Toc327518687</vt:lpwstr>
      </vt:variant>
      <vt:variant>
        <vt:i4>1048627</vt:i4>
      </vt:variant>
      <vt:variant>
        <vt:i4>110</vt:i4>
      </vt:variant>
      <vt:variant>
        <vt:i4>0</vt:i4>
      </vt:variant>
      <vt:variant>
        <vt:i4>5</vt:i4>
      </vt:variant>
      <vt:variant>
        <vt:lpwstr/>
      </vt:variant>
      <vt:variant>
        <vt:lpwstr>_Toc327518686</vt:lpwstr>
      </vt:variant>
      <vt:variant>
        <vt:i4>1048627</vt:i4>
      </vt:variant>
      <vt:variant>
        <vt:i4>104</vt:i4>
      </vt:variant>
      <vt:variant>
        <vt:i4>0</vt:i4>
      </vt:variant>
      <vt:variant>
        <vt:i4>5</vt:i4>
      </vt:variant>
      <vt:variant>
        <vt:lpwstr/>
      </vt:variant>
      <vt:variant>
        <vt:lpwstr>_Toc327518685</vt:lpwstr>
      </vt:variant>
      <vt:variant>
        <vt:i4>1048627</vt:i4>
      </vt:variant>
      <vt:variant>
        <vt:i4>98</vt:i4>
      </vt:variant>
      <vt:variant>
        <vt:i4>0</vt:i4>
      </vt:variant>
      <vt:variant>
        <vt:i4>5</vt:i4>
      </vt:variant>
      <vt:variant>
        <vt:lpwstr/>
      </vt:variant>
      <vt:variant>
        <vt:lpwstr>_Toc327518684</vt:lpwstr>
      </vt:variant>
      <vt:variant>
        <vt:i4>1048627</vt:i4>
      </vt:variant>
      <vt:variant>
        <vt:i4>92</vt:i4>
      </vt:variant>
      <vt:variant>
        <vt:i4>0</vt:i4>
      </vt:variant>
      <vt:variant>
        <vt:i4>5</vt:i4>
      </vt:variant>
      <vt:variant>
        <vt:lpwstr/>
      </vt:variant>
      <vt:variant>
        <vt:lpwstr>_Toc327518683</vt:lpwstr>
      </vt:variant>
      <vt:variant>
        <vt:i4>1048627</vt:i4>
      </vt:variant>
      <vt:variant>
        <vt:i4>86</vt:i4>
      </vt:variant>
      <vt:variant>
        <vt:i4>0</vt:i4>
      </vt:variant>
      <vt:variant>
        <vt:i4>5</vt:i4>
      </vt:variant>
      <vt:variant>
        <vt:lpwstr/>
      </vt:variant>
      <vt:variant>
        <vt:lpwstr>_Toc327518682</vt:lpwstr>
      </vt:variant>
      <vt:variant>
        <vt:i4>1048627</vt:i4>
      </vt:variant>
      <vt:variant>
        <vt:i4>80</vt:i4>
      </vt:variant>
      <vt:variant>
        <vt:i4>0</vt:i4>
      </vt:variant>
      <vt:variant>
        <vt:i4>5</vt:i4>
      </vt:variant>
      <vt:variant>
        <vt:lpwstr/>
      </vt:variant>
      <vt:variant>
        <vt:lpwstr>_Toc327518681</vt:lpwstr>
      </vt:variant>
      <vt:variant>
        <vt:i4>1048627</vt:i4>
      </vt:variant>
      <vt:variant>
        <vt:i4>74</vt:i4>
      </vt:variant>
      <vt:variant>
        <vt:i4>0</vt:i4>
      </vt:variant>
      <vt:variant>
        <vt:i4>5</vt:i4>
      </vt:variant>
      <vt:variant>
        <vt:lpwstr/>
      </vt:variant>
      <vt:variant>
        <vt:lpwstr>_Toc327518680</vt:lpwstr>
      </vt:variant>
      <vt:variant>
        <vt:i4>2031667</vt:i4>
      </vt:variant>
      <vt:variant>
        <vt:i4>68</vt:i4>
      </vt:variant>
      <vt:variant>
        <vt:i4>0</vt:i4>
      </vt:variant>
      <vt:variant>
        <vt:i4>5</vt:i4>
      </vt:variant>
      <vt:variant>
        <vt:lpwstr/>
      </vt:variant>
      <vt:variant>
        <vt:lpwstr>_Toc327518679</vt:lpwstr>
      </vt:variant>
      <vt:variant>
        <vt:i4>2031667</vt:i4>
      </vt:variant>
      <vt:variant>
        <vt:i4>62</vt:i4>
      </vt:variant>
      <vt:variant>
        <vt:i4>0</vt:i4>
      </vt:variant>
      <vt:variant>
        <vt:i4>5</vt:i4>
      </vt:variant>
      <vt:variant>
        <vt:lpwstr/>
      </vt:variant>
      <vt:variant>
        <vt:lpwstr>_Toc327518678</vt:lpwstr>
      </vt:variant>
      <vt:variant>
        <vt:i4>2031667</vt:i4>
      </vt:variant>
      <vt:variant>
        <vt:i4>56</vt:i4>
      </vt:variant>
      <vt:variant>
        <vt:i4>0</vt:i4>
      </vt:variant>
      <vt:variant>
        <vt:i4>5</vt:i4>
      </vt:variant>
      <vt:variant>
        <vt:lpwstr/>
      </vt:variant>
      <vt:variant>
        <vt:lpwstr>_Toc327518677</vt:lpwstr>
      </vt:variant>
      <vt:variant>
        <vt:i4>2031667</vt:i4>
      </vt:variant>
      <vt:variant>
        <vt:i4>50</vt:i4>
      </vt:variant>
      <vt:variant>
        <vt:i4>0</vt:i4>
      </vt:variant>
      <vt:variant>
        <vt:i4>5</vt:i4>
      </vt:variant>
      <vt:variant>
        <vt:lpwstr/>
      </vt:variant>
      <vt:variant>
        <vt:lpwstr>_Toc327518676</vt:lpwstr>
      </vt:variant>
      <vt:variant>
        <vt:i4>2031667</vt:i4>
      </vt:variant>
      <vt:variant>
        <vt:i4>44</vt:i4>
      </vt:variant>
      <vt:variant>
        <vt:i4>0</vt:i4>
      </vt:variant>
      <vt:variant>
        <vt:i4>5</vt:i4>
      </vt:variant>
      <vt:variant>
        <vt:lpwstr/>
      </vt:variant>
      <vt:variant>
        <vt:lpwstr>_Toc327518675</vt:lpwstr>
      </vt:variant>
      <vt:variant>
        <vt:i4>2031667</vt:i4>
      </vt:variant>
      <vt:variant>
        <vt:i4>38</vt:i4>
      </vt:variant>
      <vt:variant>
        <vt:i4>0</vt:i4>
      </vt:variant>
      <vt:variant>
        <vt:i4>5</vt:i4>
      </vt:variant>
      <vt:variant>
        <vt:lpwstr/>
      </vt:variant>
      <vt:variant>
        <vt:lpwstr>_Toc327518674</vt:lpwstr>
      </vt:variant>
      <vt:variant>
        <vt:i4>2031667</vt:i4>
      </vt:variant>
      <vt:variant>
        <vt:i4>32</vt:i4>
      </vt:variant>
      <vt:variant>
        <vt:i4>0</vt:i4>
      </vt:variant>
      <vt:variant>
        <vt:i4>5</vt:i4>
      </vt:variant>
      <vt:variant>
        <vt:lpwstr/>
      </vt:variant>
      <vt:variant>
        <vt:lpwstr>_Toc327518673</vt:lpwstr>
      </vt:variant>
      <vt:variant>
        <vt:i4>2031667</vt:i4>
      </vt:variant>
      <vt:variant>
        <vt:i4>26</vt:i4>
      </vt:variant>
      <vt:variant>
        <vt:i4>0</vt:i4>
      </vt:variant>
      <vt:variant>
        <vt:i4>5</vt:i4>
      </vt:variant>
      <vt:variant>
        <vt:lpwstr/>
      </vt:variant>
      <vt:variant>
        <vt:lpwstr>_Toc327518672</vt:lpwstr>
      </vt:variant>
      <vt:variant>
        <vt:i4>2031667</vt:i4>
      </vt:variant>
      <vt:variant>
        <vt:i4>20</vt:i4>
      </vt:variant>
      <vt:variant>
        <vt:i4>0</vt:i4>
      </vt:variant>
      <vt:variant>
        <vt:i4>5</vt:i4>
      </vt:variant>
      <vt:variant>
        <vt:lpwstr/>
      </vt:variant>
      <vt:variant>
        <vt:lpwstr>_Toc327518671</vt:lpwstr>
      </vt:variant>
      <vt:variant>
        <vt:i4>2031667</vt:i4>
      </vt:variant>
      <vt:variant>
        <vt:i4>14</vt:i4>
      </vt:variant>
      <vt:variant>
        <vt:i4>0</vt:i4>
      </vt:variant>
      <vt:variant>
        <vt:i4>5</vt:i4>
      </vt:variant>
      <vt:variant>
        <vt:lpwstr/>
      </vt:variant>
      <vt:variant>
        <vt:lpwstr>_Toc327518670</vt:lpwstr>
      </vt:variant>
      <vt:variant>
        <vt:i4>1966131</vt:i4>
      </vt:variant>
      <vt:variant>
        <vt:i4>8</vt:i4>
      </vt:variant>
      <vt:variant>
        <vt:i4>0</vt:i4>
      </vt:variant>
      <vt:variant>
        <vt:i4>5</vt:i4>
      </vt:variant>
      <vt:variant>
        <vt:lpwstr/>
      </vt:variant>
      <vt:variant>
        <vt:lpwstr>_Toc327518669</vt:lpwstr>
      </vt:variant>
      <vt:variant>
        <vt:i4>1966131</vt:i4>
      </vt:variant>
      <vt:variant>
        <vt:i4>2</vt:i4>
      </vt:variant>
      <vt:variant>
        <vt:i4>0</vt:i4>
      </vt:variant>
      <vt:variant>
        <vt:i4>5</vt:i4>
      </vt:variant>
      <vt:variant>
        <vt:lpwstr/>
      </vt:variant>
      <vt:variant>
        <vt:lpwstr>_Toc327518668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«FullName»</dc:title>
  <dc:creator>Compaq</dc:creator>
  <cp:lastModifiedBy>Gayle Berggren</cp:lastModifiedBy>
  <cp:revision>2</cp:revision>
  <cp:lastPrinted>2012-06-15T17:16:00Z</cp:lastPrinted>
  <dcterms:created xsi:type="dcterms:W3CDTF">2012-09-28T14:52:00Z</dcterms:created>
  <dcterms:modified xsi:type="dcterms:W3CDTF">2012-09-28T14:52:00Z</dcterms:modified>
</cp:coreProperties>
</file>